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7E" w:rsidRDefault="0051207E" w:rsidP="0051207E">
      <w:pPr>
        <w:jc w:val="center"/>
        <w:rPr>
          <w:b/>
          <w:i/>
          <w:sz w:val="24"/>
          <w:szCs w:val="24"/>
        </w:rPr>
      </w:pPr>
    </w:p>
    <w:p w:rsidR="0051207E" w:rsidRDefault="0051207E" w:rsidP="0051207E">
      <w:pPr>
        <w:overflowPunct/>
        <w:spacing w:line="360" w:lineRule="auto"/>
        <w:jc w:val="center"/>
        <w:textAlignment w:val="auto"/>
        <w:rPr>
          <w:b/>
        </w:rPr>
      </w:pPr>
      <w:r>
        <w:rPr>
          <w:b/>
        </w:rPr>
        <w:t xml:space="preserve">SZAKMAI </w:t>
      </w:r>
      <w:proofErr w:type="gramStart"/>
      <w:r>
        <w:rPr>
          <w:b/>
        </w:rPr>
        <w:t>ÉS</w:t>
      </w:r>
      <w:proofErr w:type="gramEnd"/>
      <w:r>
        <w:rPr>
          <w:b/>
        </w:rPr>
        <w:t xml:space="preserve"> ÖSSZEFÉRHETETLENSÉGI</w:t>
      </w:r>
    </w:p>
    <w:p w:rsidR="0051207E" w:rsidRDefault="0051207E" w:rsidP="0051207E">
      <w:pPr>
        <w:overflowPunct/>
        <w:spacing w:line="360" w:lineRule="auto"/>
        <w:jc w:val="center"/>
        <w:textAlignment w:val="auto"/>
        <w:rPr>
          <w:b/>
        </w:rPr>
      </w:pPr>
      <w:r>
        <w:rPr>
          <w:b/>
        </w:rPr>
        <w:t>NYILATKOZAT</w:t>
      </w:r>
    </w:p>
    <w:p w:rsidR="0051207E" w:rsidRDefault="0051207E" w:rsidP="0051207E">
      <w:pPr>
        <w:overflowPunct/>
        <w:jc w:val="center"/>
        <w:textAlignment w:val="auto"/>
        <w:rPr>
          <w:b/>
        </w:rPr>
      </w:pPr>
    </w:p>
    <w:p w:rsidR="0051207E" w:rsidRDefault="0051207E" w:rsidP="0051207E">
      <w:pPr>
        <w:overflowPunct/>
        <w:jc w:val="center"/>
        <w:textAlignment w:val="auto"/>
        <w:rPr>
          <w:b/>
        </w:rPr>
      </w:pPr>
    </w:p>
    <w:p w:rsidR="0051207E" w:rsidRDefault="0051207E" w:rsidP="0051207E">
      <w:pPr>
        <w:overflowPunct/>
        <w:jc w:val="center"/>
        <w:textAlignment w:val="auto"/>
        <w:rPr>
          <w:b/>
        </w:rPr>
      </w:pPr>
    </w:p>
    <w:p w:rsidR="0051207E" w:rsidRPr="001C5133" w:rsidRDefault="0051207E" w:rsidP="0051207E">
      <w:pPr>
        <w:overflowPunct/>
        <w:spacing w:line="360" w:lineRule="auto"/>
        <w:jc w:val="both"/>
        <w:textAlignment w:val="auto"/>
        <w:rPr>
          <w:sz w:val="24"/>
          <w:szCs w:val="24"/>
        </w:rPr>
      </w:pPr>
      <w:r w:rsidRPr="001C5133">
        <w:rPr>
          <w:sz w:val="24"/>
          <w:szCs w:val="24"/>
        </w:rPr>
        <w:t>Alulírott,</w:t>
      </w:r>
      <w:r w:rsidR="0065635A">
        <w:rPr>
          <w:sz w:val="24"/>
          <w:szCs w:val="24"/>
        </w:rPr>
        <w:t xml:space="preserve"> </w:t>
      </w:r>
      <w:r w:rsidR="0065635A" w:rsidRPr="00F06192">
        <w:rPr>
          <w:i/>
          <w:sz w:val="24"/>
          <w:szCs w:val="24"/>
          <w:highlight w:val="yellow"/>
        </w:rPr>
        <w:t>név</w:t>
      </w:r>
      <w:r w:rsidR="0065635A" w:rsidRPr="00DD38FA">
        <w:rPr>
          <w:sz w:val="24"/>
          <w:szCs w:val="24"/>
        </w:rPr>
        <w:t xml:space="preserve">, </w:t>
      </w:r>
      <w:r w:rsidR="0065635A" w:rsidRPr="0065635A">
        <w:rPr>
          <w:i/>
          <w:sz w:val="24"/>
          <w:szCs w:val="24"/>
          <w:highlight w:val="yellow"/>
        </w:rPr>
        <w:t>beosztás</w:t>
      </w:r>
      <w:r w:rsidRPr="001C5133">
        <w:rPr>
          <w:sz w:val="24"/>
          <w:szCs w:val="24"/>
        </w:rPr>
        <w:t xml:space="preserve"> kijelentem, hogy a Miskolci Egyetem </w:t>
      </w:r>
      <w:r w:rsidR="0065635A">
        <w:rPr>
          <w:sz w:val="24"/>
          <w:szCs w:val="24"/>
        </w:rPr>
        <w:t>(</w:t>
      </w:r>
      <w:r w:rsidR="0065635A" w:rsidRPr="0065635A">
        <w:rPr>
          <w:i/>
          <w:sz w:val="24"/>
          <w:szCs w:val="24"/>
          <w:highlight w:val="yellow"/>
        </w:rPr>
        <w:t>szervezeti egység</w:t>
      </w:r>
      <w:r w:rsidR="0065635A">
        <w:rPr>
          <w:sz w:val="24"/>
          <w:szCs w:val="24"/>
        </w:rPr>
        <w:t xml:space="preserve">) </w:t>
      </w:r>
      <w:r w:rsidRPr="001C5133">
        <w:rPr>
          <w:sz w:val="24"/>
          <w:szCs w:val="24"/>
        </w:rPr>
        <w:t xml:space="preserve">és a </w:t>
      </w:r>
      <w:r w:rsidR="0065635A" w:rsidRPr="0065635A">
        <w:rPr>
          <w:i/>
          <w:sz w:val="24"/>
          <w:szCs w:val="24"/>
          <w:highlight w:val="yellow"/>
        </w:rPr>
        <w:t>cégnév</w:t>
      </w:r>
      <w:r w:rsidR="0065635A">
        <w:rPr>
          <w:sz w:val="24"/>
          <w:szCs w:val="24"/>
        </w:rPr>
        <w:t xml:space="preserve"> </w:t>
      </w:r>
      <w:r w:rsidRPr="001C5133">
        <w:rPr>
          <w:sz w:val="24"/>
          <w:szCs w:val="24"/>
        </w:rPr>
        <w:t xml:space="preserve">között megkötésre kerülő, </w:t>
      </w:r>
      <w:r w:rsidR="0065635A" w:rsidRPr="0065635A">
        <w:rPr>
          <w:i/>
          <w:sz w:val="24"/>
          <w:szCs w:val="24"/>
          <w:highlight w:val="yellow"/>
        </w:rPr>
        <w:t>szám</w:t>
      </w:r>
      <w:r w:rsidRPr="001C5133">
        <w:rPr>
          <w:sz w:val="24"/>
          <w:szCs w:val="24"/>
        </w:rPr>
        <w:t xml:space="preserve"> iktatószámú szerződés </w:t>
      </w:r>
      <w:r>
        <w:rPr>
          <w:sz w:val="24"/>
          <w:szCs w:val="24"/>
        </w:rPr>
        <w:t xml:space="preserve">szakmai szempontból megfelelő, célszerű, az Egyetem érdekeit – az adott korlátok között – a legjobban szolgálja, a szerződéskötés előkészítése során a közbeszerzési törvény előírásainak figyelembevételével jártak el, továbbá </w:t>
      </w:r>
      <w:r w:rsidRPr="001C5133">
        <w:rPr>
          <w:sz w:val="24"/>
          <w:szCs w:val="24"/>
        </w:rPr>
        <w:t>a jogszabályokban és a Miskolci Egyetem belső szabályzataiban foglalt összeférhetetlenségi rendelkezésekbe nem ütközik. Az Egyetemmel szerződő fél nem minősül olyan gazdálkodó szervezetnek</w:t>
      </w:r>
      <w:r>
        <w:rPr>
          <w:sz w:val="24"/>
          <w:szCs w:val="24"/>
        </w:rPr>
        <w:t xml:space="preserve"> – a nyilvánosan működő részvénytársaságban való részvényszerzés kivételével –</w:t>
      </w:r>
      <w:r w:rsidRPr="001C5133">
        <w:rPr>
          <w:sz w:val="24"/>
          <w:szCs w:val="24"/>
        </w:rPr>
        <w:t xml:space="preserve">, amelyben az Egyetem magasabb vezető, vezető beosztású alkalmazottja, vagy ezen alkalmazottak közeli hozzátartozója tulajdonosi részesedéssel rendelkezik, továbbá nem minősül olyan gazdasági társaságnak, amely vezető tisztségviselője, felügyelő bizottsági tagja, vagy ezen alkalmazottak közeli hozzátartozója az Egyetem magasabb vezető, vezető beosztású, vagy pénzügyi kötelezettségvállalásra jogosult </w:t>
      </w:r>
      <w:bookmarkStart w:id="0" w:name="_GoBack"/>
      <w:bookmarkEnd w:id="0"/>
      <w:r w:rsidRPr="001C5133">
        <w:rPr>
          <w:sz w:val="24"/>
          <w:szCs w:val="24"/>
        </w:rPr>
        <w:t>alkalmazottja.</w:t>
      </w:r>
    </w:p>
    <w:p w:rsidR="0051207E" w:rsidRPr="001C5133" w:rsidRDefault="0051207E" w:rsidP="0051207E">
      <w:pPr>
        <w:overflowPunct/>
        <w:textAlignment w:val="auto"/>
      </w:pPr>
    </w:p>
    <w:p w:rsidR="0051207E" w:rsidRPr="00E560D0" w:rsidRDefault="0051207E" w:rsidP="0051207E">
      <w:pPr>
        <w:spacing w:line="360" w:lineRule="auto"/>
        <w:jc w:val="both"/>
        <w:rPr>
          <w:sz w:val="24"/>
          <w:szCs w:val="24"/>
        </w:rPr>
      </w:pPr>
      <w:r>
        <w:rPr>
          <w:i/>
          <w:sz w:val="24"/>
          <w:szCs w:val="24"/>
          <w:highlight w:val="yellow"/>
        </w:rPr>
        <w:t>H</w:t>
      </w:r>
      <w:r w:rsidRPr="00214AEB">
        <w:rPr>
          <w:i/>
          <w:sz w:val="24"/>
          <w:szCs w:val="24"/>
          <w:highlight w:val="yellow"/>
        </w:rPr>
        <w:t>ely</w:t>
      </w:r>
      <w:r w:rsidRPr="00E560D0">
        <w:rPr>
          <w:sz w:val="24"/>
          <w:szCs w:val="24"/>
        </w:rPr>
        <w:t xml:space="preserve">, </w:t>
      </w:r>
      <w:r w:rsidRPr="00214AEB">
        <w:rPr>
          <w:i/>
          <w:sz w:val="24"/>
          <w:szCs w:val="24"/>
          <w:highlight w:val="yellow"/>
        </w:rPr>
        <w:t>év</w:t>
      </w:r>
      <w:r>
        <w:rPr>
          <w:sz w:val="24"/>
          <w:szCs w:val="24"/>
        </w:rPr>
        <w:t xml:space="preserve">. </w:t>
      </w:r>
      <w:r w:rsidRPr="00214AEB">
        <w:rPr>
          <w:i/>
          <w:sz w:val="24"/>
          <w:szCs w:val="24"/>
          <w:highlight w:val="yellow"/>
        </w:rPr>
        <w:t>hó nap</w:t>
      </w:r>
      <w:r>
        <w:rPr>
          <w:sz w:val="24"/>
          <w:szCs w:val="24"/>
        </w:rPr>
        <w:t>.</w:t>
      </w:r>
    </w:p>
    <w:p w:rsidR="0051207E" w:rsidRPr="001C5133" w:rsidRDefault="0051207E" w:rsidP="0051207E">
      <w:pPr>
        <w:overflowPunct/>
        <w:textAlignment w:val="auto"/>
        <w:rPr>
          <w:sz w:val="24"/>
          <w:szCs w:val="24"/>
        </w:rPr>
      </w:pPr>
    </w:p>
    <w:p w:rsidR="0051207E" w:rsidRPr="001C5133" w:rsidRDefault="0051207E" w:rsidP="0051207E">
      <w:pPr>
        <w:overflowPunct/>
        <w:textAlignment w:val="auto"/>
        <w:rPr>
          <w:sz w:val="24"/>
          <w:szCs w:val="24"/>
        </w:rPr>
      </w:pPr>
    </w:p>
    <w:p w:rsidR="0051207E" w:rsidRPr="001C5133" w:rsidRDefault="0051207E" w:rsidP="0051207E">
      <w:pPr>
        <w:tabs>
          <w:tab w:val="center" w:pos="7088"/>
        </w:tabs>
        <w:overflowPunct/>
        <w:textAlignment w:val="auto"/>
        <w:rPr>
          <w:sz w:val="24"/>
          <w:szCs w:val="24"/>
          <w:lang w:eastAsia="hu-HU"/>
        </w:rPr>
      </w:pPr>
      <w:r>
        <w:rPr>
          <w:sz w:val="24"/>
          <w:szCs w:val="24"/>
          <w:lang w:eastAsia="hu-HU"/>
        </w:rPr>
        <w:tab/>
      </w:r>
      <w:r w:rsidRPr="001C5133">
        <w:rPr>
          <w:sz w:val="24"/>
          <w:szCs w:val="24"/>
          <w:lang w:eastAsia="hu-HU"/>
        </w:rPr>
        <w:t>………………………………………</w:t>
      </w:r>
    </w:p>
    <w:p w:rsidR="0051207E" w:rsidRDefault="0051207E" w:rsidP="0051207E">
      <w:pPr>
        <w:tabs>
          <w:tab w:val="center" w:pos="7088"/>
        </w:tabs>
        <w:overflowPunct/>
        <w:textAlignment w:val="auto"/>
        <w:rPr>
          <w:sz w:val="24"/>
          <w:szCs w:val="24"/>
        </w:rPr>
      </w:pPr>
      <w:r>
        <w:rPr>
          <w:sz w:val="24"/>
          <w:szCs w:val="24"/>
          <w:lang w:eastAsia="hu-HU"/>
        </w:rPr>
        <w:tab/>
      </w:r>
      <w:proofErr w:type="gramStart"/>
      <w:r w:rsidRPr="0051207E">
        <w:rPr>
          <w:i/>
          <w:sz w:val="24"/>
          <w:szCs w:val="24"/>
          <w:highlight w:val="yellow"/>
        </w:rPr>
        <w:t>név</w:t>
      </w:r>
      <w:proofErr w:type="gramEnd"/>
      <w:r>
        <w:rPr>
          <w:sz w:val="24"/>
          <w:szCs w:val="24"/>
        </w:rPr>
        <w:t xml:space="preserve">, </w:t>
      </w:r>
      <w:r w:rsidRPr="0051207E">
        <w:rPr>
          <w:i/>
          <w:sz w:val="24"/>
          <w:szCs w:val="24"/>
          <w:highlight w:val="yellow"/>
        </w:rPr>
        <w:t>beosztás</w:t>
      </w:r>
    </w:p>
    <w:p w:rsidR="0051207E" w:rsidRDefault="0051207E" w:rsidP="0051207E">
      <w:pPr>
        <w:tabs>
          <w:tab w:val="center" w:pos="7088"/>
        </w:tabs>
        <w:overflowPunct/>
        <w:textAlignment w:val="auto"/>
        <w:rPr>
          <w:sz w:val="24"/>
          <w:szCs w:val="24"/>
        </w:rPr>
      </w:pPr>
      <w:r>
        <w:rPr>
          <w:sz w:val="24"/>
          <w:szCs w:val="24"/>
        </w:rPr>
        <w:tab/>
      </w:r>
      <w:proofErr w:type="gramStart"/>
      <w:r>
        <w:rPr>
          <w:sz w:val="24"/>
          <w:szCs w:val="24"/>
        </w:rPr>
        <w:t>szakmai</w:t>
      </w:r>
      <w:proofErr w:type="gramEnd"/>
      <w:r>
        <w:rPr>
          <w:sz w:val="24"/>
          <w:szCs w:val="24"/>
        </w:rPr>
        <w:t xml:space="preserve"> felelős</w:t>
      </w:r>
    </w:p>
    <w:sectPr w:rsidR="00512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7E"/>
    <w:rsid w:val="0051207E"/>
    <w:rsid w:val="0064670B"/>
    <w:rsid w:val="0065635A"/>
    <w:rsid w:val="008B6A45"/>
    <w:rsid w:val="00D60D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0F094-880A-4D1D-9A54-6E24C4F1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207E"/>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6"/>
      <w:lang w:eastAsia="ko-K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4670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670B"/>
    <w:rPr>
      <w:rFonts w:ascii="Segoe UI" w:eastAsia="Times New Roman"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1025</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Herpai Gábor</dc:creator>
  <cp:lastModifiedBy>Molnár Karolina</cp:lastModifiedBy>
  <cp:revision>4</cp:revision>
  <cp:lastPrinted>2020-07-22T09:02:00Z</cp:lastPrinted>
  <dcterms:created xsi:type="dcterms:W3CDTF">2015-12-15T13:16:00Z</dcterms:created>
  <dcterms:modified xsi:type="dcterms:W3CDTF">2020-07-22T09:02:00Z</dcterms:modified>
</cp:coreProperties>
</file>