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E55D97B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9D03A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(2022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3F2AB233" w:rsidR="00F019F6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2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11AC73F2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59, a Gazdaságtudományi Karra 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3C922C34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A970BC" wp14:editId="1D343B3E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172EEDC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Alapszakon a felmérésben résztvevők 71,2%-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51">
        <w:rPr>
          <w:rFonts w:ascii="Times New Roman" w:hAnsi="Times New Roman" w:cs="Times New Roman"/>
          <w:sz w:val="24"/>
          <w:szCs w:val="24"/>
        </w:rPr>
        <w:t xml:space="preserve">alapszakos, </w:t>
      </w:r>
      <w:proofErr w:type="spellStart"/>
      <w:r w:rsidR="00872C51">
        <w:rPr>
          <w:rFonts w:ascii="Times New Roman" w:hAnsi="Times New Roman" w:cs="Times New Roman"/>
          <w:sz w:val="24"/>
          <w:szCs w:val="24"/>
        </w:rPr>
        <w:t>ezenbelül</w:t>
      </w:r>
      <w:proofErr w:type="spellEnd"/>
      <w:r w:rsidR="00872C51">
        <w:rPr>
          <w:rFonts w:ascii="Times New Roman" w:hAnsi="Times New Roman" w:cs="Times New Roman"/>
          <w:sz w:val="24"/>
          <w:szCs w:val="24"/>
        </w:rPr>
        <w:t xml:space="preserve"> a legnagyobb arányban a gazdálkodási és menedzsment alapszakosok vannak (22%), utánuk a pénzügy és számvitel szak (20,3%), legalacsonyabb arányban az emberi erőforrások alapszakosok töltötték ki a felmérést.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4076EC" wp14:editId="430A9F11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389A5F9F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27,03%-a mesterszakos hallgató. </w:t>
      </w:r>
      <w:proofErr w:type="spellStart"/>
      <w:r>
        <w:rPr>
          <w:rFonts w:ascii="Times New Roman" w:hAnsi="Times New Roman" w:cs="Times New Roman"/>
          <w:sz w:val="24"/>
          <w:szCs w:val="24"/>
        </w:rPr>
        <w:t>Ezenbelül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legtöbb hallgató a marketing szakról volt, utána az MBA szakos hallgatók, majd a vezetés és szervezés, valamint a számviteli szak hallgatói töltötték ki a felmérést. Ellátásilánc-menedzsment hallgató nem vett részt a felmérésben. </w:t>
      </w:r>
    </w:p>
    <w:p w14:paraId="1553323D" w14:textId="33BB144B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2BA1" w14:textId="1BCE1285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 része </w:t>
      </w:r>
      <w:r w:rsidR="0087410E">
        <w:rPr>
          <w:rFonts w:ascii="Times New Roman" w:hAnsi="Times New Roman" w:cs="Times New Roman"/>
          <w:sz w:val="24"/>
          <w:szCs w:val="24"/>
        </w:rPr>
        <w:t>Miskolcon kívüli, de Borsod-Abaúj-Zemplén vármegyei településen rendelkezett állandó lakhellyel</w:t>
      </w:r>
      <w:r w:rsidR="00A61416">
        <w:rPr>
          <w:rFonts w:ascii="Times New Roman" w:hAnsi="Times New Roman" w:cs="Times New Roman"/>
          <w:sz w:val="24"/>
          <w:szCs w:val="24"/>
        </w:rPr>
        <w:t xml:space="preserve"> (47,5%)</w:t>
      </w:r>
      <w:r w:rsidR="008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1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7410E">
        <w:rPr>
          <w:rFonts w:ascii="Times New Roman" w:hAnsi="Times New Roman" w:cs="Times New Roman"/>
          <w:sz w:val="24"/>
          <w:szCs w:val="24"/>
        </w:rPr>
        <w:t xml:space="preserve"> kitöltők 40,7%-a Miskolcon rendelkezik állandó lakhellyel.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E9E46" w14:textId="77777777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DE75" w14:textId="323333F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véleménye alapján jól hasznosítható és értékes diplomát lehet szerezni. </w:t>
      </w:r>
    </w:p>
    <w:p w14:paraId="715CA859" w14:textId="0AB34B95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74050" w14:textId="6BE304FE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Legfőbb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forrásként a felvi.hu internetes oldalt jelölték meg. Legalacsonyabb jelentőségű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forrásként a Miskolci Egyetem külső beiskolázási programjait jelölték, ami alapján javítani szükséges az informatív tájékoztatást a középiskolákban megtartandó beiskolázási tájékoztatók, programok során.</w:t>
      </w:r>
    </w:p>
    <w:p w14:paraId="67AB779B" w14:textId="77777777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B4A7" w14:textId="3FA521A3" w:rsidR="00977DC7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főként a versenyszférában szeretnének elhelyezkedni</w:t>
      </w:r>
      <w:r w:rsidR="00977DC7">
        <w:rPr>
          <w:rFonts w:ascii="Times New Roman" w:hAnsi="Times New Roman" w:cs="Times New Roman"/>
          <w:sz w:val="24"/>
          <w:szCs w:val="24"/>
        </w:rPr>
        <w:t xml:space="preserve">. A diplomától a kitöltők nagyrésze a magasabb jövedelmet várja el. Ezzel összefüggésben a jobb </w:t>
      </w:r>
      <w:proofErr w:type="gramStart"/>
      <w:r w:rsidR="00977DC7">
        <w:rPr>
          <w:rFonts w:ascii="Times New Roman" w:hAnsi="Times New Roman" w:cs="Times New Roman"/>
          <w:sz w:val="24"/>
          <w:szCs w:val="24"/>
        </w:rPr>
        <w:t>pozíciókat</w:t>
      </w:r>
      <w:proofErr w:type="gramEnd"/>
      <w:r w:rsidR="00977DC7">
        <w:rPr>
          <w:rFonts w:ascii="Times New Roman" w:hAnsi="Times New Roman" w:cs="Times New Roman"/>
          <w:sz w:val="24"/>
          <w:szCs w:val="24"/>
        </w:rPr>
        <w:t xml:space="preserve">, magasabb beosztást és az ezzel járó magasabb életszínvonalat jelölték még meg. </w:t>
      </w:r>
    </w:p>
    <w:p w14:paraId="13E6A036" w14:textId="119CFFA0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65F4" w14:textId="69DF30C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5E6AA1" wp14:editId="178C4D65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AA63F7" w14:textId="133DAB0D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E69A8" w14:textId="77777777" w:rsidR="008406CE" w:rsidRDefault="008406CE" w:rsidP="008406C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82CFF" w14:textId="612E677B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saját elhatározásból vesznek részt a képzésen, választásukat könnyítette, hogy nagyrészt már az intézményről, a karról és az oktatókról is rendelkeztek előzetes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2F9BE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D654" w14:textId="3E6C5DFC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képzéssel kapcsolatosan a kitöltők az új szakképzettséghez tartozó új szakmai </w:t>
      </w:r>
      <w:r w:rsidR="00E51F27">
        <w:rPr>
          <w:rFonts w:ascii="Times New Roman" w:hAnsi="Times New Roman" w:cs="Times New Roman"/>
          <w:sz w:val="24"/>
          <w:szCs w:val="24"/>
        </w:rPr>
        <w:t xml:space="preserve">és elméleti </w:t>
      </w:r>
      <w:r>
        <w:rPr>
          <w:rFonts w:ascii="Times New Roman" w:hAnsi="Times New Roman" w:cs="Times New Roman"/>
          <w:sz w:val="24"/>
          <w:szCs w:val="24"/>
        </w:rPr>
        <w:t xml:space="preserve">ismereteket jelölték meg alapvető elvárásként.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fontosan vélik az új gyakorlati anyag megszerzését is, illetve a munkaerőpiaci kompetenciák képzés általi fejlődését is.</w:t>
      </w:r>
    </w:p>
    <w:p w14:paraId="5E5E7046" w14:textId="68062490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EE4D" w14:textId="07156B75" w:rsidR="00E51F27" w:rsidRDefault="00E51F27" w:rsidP="00E51F2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az adatokat látható,</w:t>
      </w:r>
      <w:r>
        <w:rPr>
          <w:rFonts w:ascii="Times New Roman" w:hAnsi="Times New Roman" w:cs="Times New Roman"/>
          <w:sz w:val="24"/>
          <w:szCs w:val="24"/>
        </w:rPr>
        <w:t xml:space="preserve"> hogy a gazdálkodási és menedzsment alapszakos hallgatók vettek részt nagyobb arányban a felmérésben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Felvételi idején a legjobb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forrásként a felvi.hu honlapot jelölték meg, legalacsonyabb minőségű forrásként a beiskolázási programokat jelölték. Ezek alapján a beiskolázási programokat fejleszteni szükséges, sokkal informatívabbnak, részletesebbnek kell lenni, ami releváns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 a felvételi eljárással, a bemeneti követelményekkel kapcsolatban. </w:t>
      </w:r>
      <w:r>
        <w:rPr>
          <w:rFonts w:ascii="Times New Roman" w:hAnsi="Times New Roman" w:cs="Times New Roman"/>
          <w:sz w:val="24"/>
          <w:szCs w:val="24"/>
        </w:rPr>
        <w:t xml:space="preserve">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</w:t>
      </w:r>
      <w:r>
        <w:rPr>
          <w:rFonts w:ascii="Times New Roman" w:hAnsi="Times New Roman" w:cs="Times New Roman"/>
          <w:sz w:val="24"/>
          <w:szCs w:val="24"/>
        </w:rPr>
        <w:t xml:space="preserve">a képzéseken </w:t>
      </w:r>
      <w:r>
        <w:rPr>
          <w:rFonts w:ascii="Times New Roman" w:hAnsi="Times New Roman" w:cs="Times New Roman"/>
          <w:sz w:val="24"/>
          <w:szCs w:val="24"/>
        </w:rPr>
        <w:t xml:space="preserve">új ismeretanyagot kapjanak, új gyakorlati anyaggal is tudjanak foglalkozni az alapképzéshez képest, mindenképpen szem előtt kell tartani a </w:t>
      </w:r>
      <w:r>
        <w:rPr>
          <w:rFonts w:ascii="Times New Roman" w:hAnsi="Times New Roman" w:cs="Times New Roman"/>
          <w:sz w:val="24"/>
          <w:szCs w:val="24"/>
        </w:rPr>
        <w:t>különböző szakokon oktatott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érdemes az egyes, olyan kompetenciák fejlesztését is beleilleszteni a tananyagba, melyek a KKK-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 vannak határozva az adott képzésre vonatkozóan, főként, ha ezek összhangban vannak a válaszadók által megjelölt kevésbé erős kompetenciákkal (gyakorlati feladatok, esettanulmányok, szituációs játékok megoldásával).</w:t>
      </w:r>
    </w:p>
    <w:p w14:paraId="4EB5A12C" w14:textId="77777777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20200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C3C6" w14:textId="77777777" w:rsidR="008406CE" w:rsidRDefault="008406C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B3C8A"/>
    <w:rsid w:val="000E1036"/>
    <w:rsid w:val="000E46F6"/>
    <w:rsid w:val="0011645C"/>
    <w:rsid w:val="00116732"/>
    <w:rsid w:val="00124AC0"/>
    <w:rsid w:val="0017329D"/>
    <w:rsid w:val="001D5558"/>
    <w:rsid w:val="001E35C6"/>
    <w:rsid w:val="001F0D84"/>
    <w:rsid w:val="002007F7"/>
    <w:rsid w:val="002368A5"/>
    <w:rsid w:val="00281629"/>
    <w:rsid w:val="00286644"/>
    <w:rsid w:val="002B20E4"/>
    <w:rsid w:val="002E15ED"/>
    <w:rsid w:val="00315805"/>
    <w:rsid w:val="003376FD"/>
    <w:rsid w:val="00360E7F"/>
    <w:rsid w:val="003A5FC5"/>
    <w:rsid w:val="003A6D08"/>
    <w:rsid w:val="003B0D6C"/>
    <w:rsid w:val="003C7E4C"/>
    <w:rsid w:val="003F44C2"/>
    <w:rsid w:val="004226ED"/>
    <w:rsid w:val="0044689A"/>
    <w:rsid w:val="004521D8"/>
    <w:rsid w:val="004A5D01"/>
    <w:rsid w:val="004D58A7"/>
    <w:rsid w:val="004F58FD"/>
    <w:rsid w:val="0058718D"/>
    <w:rsid w:val="005A2E84"/>
    <w:rsid w:val="005A3697"/>
    <w:rsid w:val="00644B36"/>
    <w:rsid w:val="00692D83"/>
    <w:rsid w:val="006D58FC"/>
    <w:rsid w:val="006E5F4B"/>
    <w:rsid w:val="00703F33"/>
    <w:rsid w:val="007048B9"/>
    <w:rsid w:val="007428FE"/>
    <w:rsid w:val="00762E71"/>
    <w:rsid w:val="00794A9C"/>
    <w:rsid w:val="007C0700"/>
    <w:rsid w:val="008406CE"/>
    <w:rsid w:val="008415B1"/>
    <w:rsid w:val="00860AD8"/>
    <w:rsid w:val="00872C51"/>
    <w:rsid w:val="0087410E"/>
    <w:rsid w:val="008A3DD1"/>
    <w:rsid w:val="008B0AA3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7F1A"/>
    <w:rsid w:val="00A33EB6"/>
    <w:rsid w:val="00A61416"/>
    <w:rsid w:val="00AF2C42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D4-4370-A85E-FF11D4161C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D4-4370-A85E-FF11D4161C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D4-4370-A85E-FF11D4161C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D4-4370-A85E-FF11D4161C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7D4-4370-A85E-FF11D4161C0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EF36761-F432-4AE4-B026-B8D9FE50119F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22%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D4-4370-A85E-FF11D4161C0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F02A07C-ED0F-4AC1-94A5-234AA59B235F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11,9%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D4-4370-A85E-FF11D4161C0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1218028-11A0-40CC-BBBB-B02D5B58FE58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11,9%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D4-4370-A85E-FF11D4161C0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C86FC82-D64E-4524-AE16-7EAEA0997562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20,3%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7D4-4370-A85E-FF11D4161C0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F702B75-8601-4CC0-A07A-F60C285EAF6F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5,1%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7D4-4370-A85E-FF11D4161C0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Gazdálkodási és menedzsment</c:v>
                </c:pt>
                <c:pt idx="1">
                  <c:v>Kereskedelem és marketing</c:v>
                </c:pt>
                <c:pt idx="2">
                  <c:v>Nemzetközi gazdálkodás</c:v>
                </c:pt>
                <c:pt idx="3">
                  <c:v>Pénzügy és számvitel</c:v>
                </c:pt>
                <c:pt idx="4">
                  <c:v>Emberi erőforrás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0.22</c:v>
                </c:pt>
                <c:pt idx="1">
                  <c:v>0.11899999999999999</c:v>
                </c:pt>
                <c:pt idx="2">
                  <c:v>0.11899999999999999</c:v>
                </c:pt>
                <c:pt idx="3">
                  <c:v>0.20300000000000001</c:v>
                </c:pt>
                <c:pt idx="4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D4-4370-A85E-FF11D4161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BD-41D4-AF8F-52B31AAA8C0C}"/>
              </c:ext>
            </c:extLst>
          </c:dPt>
          <c:dLbls>
            <c:dLbl>
              <c:idx val="4"/>
              <c:layout>
                <c:manualLayout>
                  <c:x val="0.25694444444444436"/>
                  <c:y val="7.14285714285714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BD-41D4-AF8F-52B31AAA8C0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Marketing</c:v>
                </c:pt>
                <c:pt idx="1">
                  <c:v>Számvitel</c:v>
                </c:pt>
                <c:pt idx="2">
                  <c:v>Vezetés és szervezés</c:v>
                </c:pt>
                <c:pt idx="3">
                  <c:v>MBA</c:v>
                </c:pt>
                <c:pt idx="4">
                  <c:v>Ellátásilánc-menedzsment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8.5000000000000006E-2</c:v>
                </c:pt>
                <c:pt idx="1">
                  <c:v>1.7000000000000001E-2</c:v>
                </c:pt>
                <c:pt idx="2">
                  <c:v>3.4000000000000002E-2</c:v>
                </c:pt>
                <c:pt idx="3">
                  <c:v>3.4000000000000002E-2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Milyen előnyöket vár a diplomás léttől?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Munka1!$A$2:$A$9</c:f>
              <c:strCache>
                <c:ptCount val="8"/>
                <c:pt idx="0">
                  <c:v>Magasabb jövedelem</c:v>
                </c:pt>
                <c:pt idx="1">
                  <c:v>Jobb életszínvonal</c:v>
                </c:pt>
                <c:pt idx="2">
                  <c:v>Jobb munkakörnyezet</c:v>
                </c:pt>
                <c:pt idx="3">
                  <c:v>Könnyebb munkaszerzés</c:v>
                </c:pt>
                <c:pt idx="4">
                  <c:v>Magasabb társadalmi elismertség</c:v>
                </c:pt>
                <c:pt idx="5">
                  <c:v>Jobb pozíciók</c:v>
                </c:pt>
                <c:pt idx="6">
                  <c:v>Nagyobb szabadság</c:v>
                </c:pt>
                <c:pt idx="7">
                  <c:v>Magasabb beosztás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0.79600000000000004</c:v>
                </c:pt>
                <c:pt idx="1">
                  <c:v>0.53100000000000003</c:v>
                </c:pt>
                <c:pt idx="2" formatCode="0%">
                  <c:v>0.38800000000000001</c:v>
                </c:pt>
                <c:pt idx="3">
                  <c:v>0.40799999999999997</c:v>
                </c:pt>
                <c:pt idx="4">
                  <c:v>0.184</c:v>
                </c:pt>
                <c:pt idx="5">
                  <c:v>0.44900000000000001</c:v>
                </c:pt>
                <c:pt idx="6" formatCode="0%">
                  <c:v>0.10199999999999999</c:v>
                </c:pt>
                <c:pt idx="7">
                  <c:v>0.34699999999999998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6-453D-A045-D4EEE53A4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3583616"/>
        <c:axId val="1973578624"/>
      </c:barChart>
      <c:catAx>
        <c:axId val="19735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3578624"/>
        <c:crosses val="autoZero"/>
        <c:auto val="1"/>
        <c:lblAlgn val="ctr"/>
        <c:lblOffset val="100"/>
        <c:noMultiLvlLbl val="0"/>
      </c:catAx>
      <c:valAx>
        <c:axId val="1973578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low"/>
        <c:crossAx val="197358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68A7A37C-1D32-4F64-9CD4-4E643FAAB6F3}"/>
</file>

<file path=customXml/itemProps2.xml><?xml version="1.0" encoding="utf-8"?>
<ds:datastoreItem xmlns:ds="http://schemas.openxmlformats.org/officeDocument/2006/customXml" ds:itemID="{54EF83C3-EF84-455B-8F00-7EBBF1233568}"/>
</file>

<file path=customXml/itemProps3.xml><?xml version="1.0" encoding="utf-8"?>
<ds:datastoreItem xmlns:ds="http://schemas.openxmlformats.org/officeDocument/2006/customXml" ds:itemID="{5DC39E03-25EE-4D20-86E2-230CF467A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2023-11-26T23:13:00Z</dcterms:created>
  <dcterms:modified xsi:type="dcterms:W3CDTF">2023-12-11T10:25:00Z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