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C2F1" w14:textId="7C433C88" w:rsidR="00E6422E" w:rsidRPr="00654619" w:rsidRDefault="00E6422E" w:rsidP="002F1D72">
      <w:pPr>
        <w:rPr>
          <w:rFonts w:ascii="Times New Roman" w:hAnsi="Times New Roman" w:cs="Times New Roman"/>
        </w:rPr>
      </w:pPr>
    </w:p>
    <w:p w14:paraId="56109DC9" w14:textId="0C368B08" w:rsidR="000404C0" w:rsidRPr="00654619" w:rsidRDefault="000404C0" w:rsidP="00A43A2E">
      <w:pPr>
        <w:jc w:val="center"/>
        <w:rPr>
          <w:rFonts w:ascii="Times New Roman" w:hAnsi="Times New Roman" w:cs="Times New Roman"/>
          <w:b/>
          <w:bCs/>
        </w:rPr>
      </w:pPr>
      <w:r w:rsidRPr="00654619">
        <w:rPr>
          <w:rFonts w:ascii="Times New Roman" w:hAnsi="Times New Roman" w:cs="Times New Roman"/>
          <w:b/>
          <w:bCs/>
        </w:rPr>
        <w:t xml:space="preserve">Bírálati </w:t>
      </w:r>
      <w:r w:rsidR="00A43A2E" w:rsidRPr="00654619">
        <w:rPr>
          <w:rFonts w:ascii="Times New Roman" w:hAnsi="Times New Roman" w:cs="Times New Roman"/>
          <w:b/>
          <w:bCs/>
        </w:rPr>
        <w:t>szempontok</w:t>
      </w:r>
    </w:p>
    <w:p w14:paraId="11E8F951" w14:textId="77777777" w:rsidR="00A43A2E" w:rsidRPr="00654619" w:rsidRDefault="00A43A2E" w:rsidP="00A43A2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984"/>
      </w:tblGrid>
      <w:tr w:rsidR="007E32FC" w:rsidRPr="00654619" w14:paraId="46836FCC" w14:textId="77777777" w:rsidTr="34020D8F">
        <w:trPr>
          <w:trHeight w:val="312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6DF0" w14:textId="5AA1C7A0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Alapképzés </w:t>
            </w:r>
            <w:r w:rsidR="18BAD5F5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</w:t>
            </w:r>
            <w:r w:rsidR="74A1E47F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="18BAD5F5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leendő felsőbb éves</w:t>
            </w:r>
          </w:p>
        </w:tc>
      </w:tr>
      <w:tr w:rsidR="007E32FC" w:rsidRPr="00654619" w14:paraId="174CE55A" w14:textId="77777777" w:rsidTr="34020D8F">
        <w:trPr>
          <w:trHeight w:val="3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B642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Bírálati szempontok (I)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D0F4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Pontszám</w:t>
            </w:r>
          </w:p>
        </w:tc>
      </w:tr>
      <w:tr w:rsidR="007E32FC" w:rsidRPr="00654619" w14:paraId="03AEDEE7" w14:textId="77777777" w:rsidTr="34020D8F">
        <w:trPr>
          <w:trHeight w:val="62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76D2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VERSENYEREDMÉNYEK (a pályázat benyújtását megelőző 5 éven belül elért eredmények)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6148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300</w:t>
            </w:r>
          </w:p>
        </w:tc>
      </w:tr>
      <w:tr w:rsidR="007E32FC" w:rsidRPr="00654619" w14:paraId="123312E8" w14:textId="77777777" w:rsidTr="34020D8F">
        <w:trPr>
          <w:trHeight w:val="135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EBED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A pályázó az Országos Tudományos Diákköri Tanács által adományozott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kitüntetésben részesült (Amennyiben több OTDK helyezése és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 is van a pályázónak, akkor a Pályázati Adatlapon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Aranyérmet, valamint egy OTDK első helyezést kell feltüntetni, de a pontszámításnál kizárólag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vehető figyelembe, mint a magasabb pontszámú eredmény.)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E327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E32FC" w:rsidRPr="00654619" w14:paraId="40EC2CD3" w14:textId="77777777" w:rsidTr="34020D8F">
        <w:trPr>
          <w:trHeight w:val="98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098D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I. helyezéssel rendelkezik (Amennyiben az OTDK-n több helyezést is elért a pályázó, a Pályázati Adatlapon csak a legjobb eredményét kell feltüntetni, az OTDK-n elért I., II., III. helyezésért csak egyszer adható pont.)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33B2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7E32FC" w:rsidRPr="00654619" w14:paraId="038AA5C5" w14:textId="77777777" w:rsidTr="34020D8F">
        <w:trPr>
          <w:trHeight w:val="95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698D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II. helyezéssel rendelkezik (Amennyiben az OTDK-n több helyezést is elért a pályázó, a Pályázati Adatlapon csak a legjobb eredményét kell feltüntetni, az OTDK-n elért I., II., III. helyezésért csak egyszer adható pont).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A54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7E32FC" w:rsidRPr="00654619" w14:paraId="5E262D63" w14:textId="77777777" w:rsidTr="34020D8F">
        <w:trPr>
          <w:trHeight w:val="85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3474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III. helyezéssel rendelkezik (Amennyiben az OTDK-n több helyezést is elért a pályázó, a Pályázati Adatlapon csak a legjobb eredményét kell feltüntetni, az OTDK-n elért I., II., III. helyezésért csak egyszer adható pont).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47B0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7E32FC" w:rsidRPr="00654619" w14:paraId="0E840348" w14:textId="77777777" w:rsidTr="34020D8F">
        <w:trPr>
          <w:trHeight w:val="76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11F1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Kiemelkedő nemzetközi versenyeredmény (pályázó a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Scimago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Journal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Ranking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szerinti Q1/Q2 és/vagy a Magyar Tudományos Akadémia tudományos osztályai által “A” vagy “B” kategóriába sorolt folyóiratokban megjelent tudományos publikáció szerzője).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48BB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E32FC" w:rsidRPr="00654619" w14:paraId="2F234661" w14:textId="77777777" w:rsidTr="34020D8F">
        <w:trPr>
          <w:trHeight w:val="113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905C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Egyéb nemzetközi versenyeredmény (Az adott tudományterületen egyéb nemzetközi versenyeredmény, amelynek megítélése a fogadó felsőoktatási intézmény hatáskörébe tartozik; több kiemelkedőnek minősített/egyéb nemzetközi versenyeredmény esetén csak egy eredmény vehető figyelembe és csak egyszer adható a nemzetközi versenyeredményre pontszám).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03E6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7E32FC" w:rsidRPr="00654619" w14:paraId="5955F197" w14:textId="77777777" w:rsidTr="34020D8F">
        <w:trPr>
          <w:trHeight w:val="66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B713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pályázó a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Scimago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Journal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Ranking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szerinti Q1/Q2 és/vagy a Magyar Tudományos Akadémia tudományos osztályai által “A” vagy “B” kategóriába sorolt folyóiratokban megjelent tudományos publikáció szerzője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4AD0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E32FC" w:rsidRPr="00654619" w14:paraId="245F88E1" w14:textId="77777777" w:rsidTr="34020D8F">
        <w:trPr>
          <w:trHeight w:val="972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1A80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Tanulmányi eredmények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(például 3,9–es átlag esetén elérhető pontszám számítása műszaki képzési terület esetén: 3,9-3,5=0,4x20=8 pont; 5,0 átlagnál: 5,0-3,5=1,5x20=30 pont. Például 4,2–es átlag esetén elérhető pontszám számítása egyéb képzési terület esetén: 4,2-4=0,2x30=6 pont; 5,0 átlagnál: 5,0-4,0=1x30=30 pont)</w:t>
            </w:r>
          </w:p>
        </w:tc>
      </w:tr>
      <w:tr w:rsidR="007E32FC" w:rsidRPr="00654619" w14:paraId="0D285EA4" w14:textId="77777777" w:rsidTr="34020D8F">
        <w:trPr>
          <w:trHeight w:val="249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D431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Tudományos és művészeti pályázat esetén: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 w:type="page"/>
              <w:t>· agrár, műszaki, informatika, orvos- és egészségtudomány, természettudomány képzési területeken folyó alapképzésben teljesített utolsó két lezárt féléve súlyozott tanulmányi átlagának számtani átlaga, mínusz 3,5, szorozva 20-szal (kizárólag egy lezárt félév esetén a súlyozott tanulmányi átlag)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 w:type="page"/>
              <w:t>· egyéb képzési területen folyó alapképzésben teljesített utolsó két lezárt féléve súlyozott tanulmányi átlagának számtani átlaga, mínusz 4, szorozva 30-cal (kizárólag egy lezárt félév esetén a súlyozott tanulmányi átlag).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14F8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E32FC" w:rsidRPr="00654619" w14:paraId="38156497" w14:textId="77777777" w:rsidTr="34020D8F">
        <w:trPr>
          <w:trHeight w:val="374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3836" w14:textId="7970FFF1" w:rsidR="004260CA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 pályázat benyújtásáig megvalósult tudományos, művészeti tevékenységek: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· TDK, OTDK részvétel (a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Aranyérem/minősített helyezéssel együtt járó részvétel ezen szempontnál nem vehető figyelembe)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szakkollégiumi tevékenység;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tudományos/művészeti díjak, ösztöndíjak;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szakmai-közösségi tevékenység, kutatásokban, kutatási terepmunkában való részvétel;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 ismeretterjesztő/tudománynépszerűsítő tevékenység,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 művészeti teljesítmény, nemzetközi megmérettetés;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publikációs tevékenység (publikációs lista alapján, elektronikusan feltöltött publikációk esetén elegendő az MTMT hivatkozás), egyéb publikált cikkek, közlemények, tanulmányok;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szakmai előadások/kiállítások tartása;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hazai és nemzetközi konferencián, kiállításon való részvétel;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egyéb releváns szakmai tevékenység bemutatása</w:t>
            </w:r>
            <w:r w:rsidR="004260CA" w:rsidRPr="0065461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ADA2DD5" w14:textId="518B5419" w:rsidR="007E32FC" w:rsidRPr="00654619" w:rsidRDefault="004260CA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·a pályázó innováció területén végzett kiválósága, különösen iparjogvédelmi oltalommal való rendelkezését. Innovációs teljesítménynek minősülhet bármely </w:t>
            </w:r>
            <w:r w:rsidR="00DD5F58" w:rsidRPr="00654619">
              <w:rPr>
                <w:rFonts w:ascii="Times New Roman" w:eastAsia="Times New Roman" w:hAnsi="Times New Roman" w:cs="Times New Roman"/>
                <w:color w:val="000000"/>
              </w:rPr>
              <w:t>·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iparjogvédelmi oltalom, ezen túl például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hackathon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vagy más innovációs versenyen való részvétel, egyetemi hasznosító vállalkozásban való részvétel, K+F+I projektben való részvétel,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Proof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Concept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versenyen való részvétel stb.</w:t>
            </w:r>
            <w:r w:rsidR="007E32FC"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Továbbá művészeti területen pályázók esetén: maximum 10 tételes szakmai portfólió összeállítása (művészeti produktum)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0C37418" w14:textId="452519F7" w:rsidR="00D91BD3" w:rsidRPr="00654619" w:rsidRDefault="00D91BD3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B79A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E32FC" w:rsidRPr="00654619" w14:paraId="28900DD1" w14:textId="77777777" w:rsidTr="34020D8F">
        <w:trPr>
          <w:trHeight w:val="39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7C0BFEF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EGYÉB SZEMPONTOK</w:t>
            </w:r>
          </w:p>
        </w:tc>
      </w:tr>
      <w:tr w:rsidR="007E32FC" w:rsidRPr="00654619" w14:paraId="6D60F053" w14:textId="77777777" w:rsidTr="34020D8F">
        <w:trPr>
          <w:trHeight w:val="69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C42C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Matematikai, természettudományos, műszaki és informatikai (MTMI) területen, valamint agrártudományok tudományterületen belül végzett kutatási téma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9D21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E32FC" w:rsidRPr="00654619" w14:paraId="347CDE07" w14:textId="77777777" w:rsidTr="34020D8F">
        <w:trPr>
          <w:trHeight w:val="99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8B3A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Akutatási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terv kutatócsoport15 keretében kerül megvalósításra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 w:type="page"/>
              <w:t>VAGY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 w:type="page"/>
              <w:t>a pályázó az Eötvös Loránd Kutatási Hálózattal vagy a fogadó felsőoktatási intézményen kívüli felsőoktatási intézménnyel kutatócsoport keretében együttműködik a kutatási terve megvalósítása során.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F947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E32FC" w:rsidRPr="00654619" w14:paraId="02B86102" w14:textId="77777777" w:rsidTr="34020D8F">
        <w:trPr>
          <w:trHeight w:val="10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8617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Nyelvtudás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- egy darab felsőfokú nyelvvizsga /C1/ – 4 pont;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- egy darab középfokú nyelvvizsga /B2/ – 2 pont;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AZONBAN legfeljebb 6 pont szerezhető az igazolt idegennyelv-tudásért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E824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E32FC" w:rsidRPr="00654619" w14:paraId="400A0698" w14:textId="77777777" w:rsidTr="34020D8F">
        <w:trPr>
          <w:trHeight w:val="169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387B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Kutatási terv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ADB5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E32FC" w:rsidRPr="00654619" w14:paraId="5554EF2E" w14:textId="77777777" w:rsidTr="34020D8F">
        <w:trPr>
          <w:trHeight w:val="3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C936" w14:textId="77777777" w:rsidR="007E32FC" w:rsidRPr="00654619" w:rsidRDefault="007E32FC" w:rsidP="007E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Összesen: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0E35" w14:textId="77777777" w:rsidR="007E32FC" w:rsidRPr="00654619" w:rsidRDefault="007E32FC" w:rsidP="007E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400</w:t>
            </w:r>
          </w:p>
        </w:tc>
      </w:tr>
    </w:tbl>
    <w:p w14:paraId="03EF0D1D" w14:textId="1FF1355E" w:rsidR="00F63A87" w:rsidRPr="00654619" w:rsidRDefault="00F63A87" w:rsidP="002F1D72">
      <w:pPr>
        <w:rPr>
          <w:rFonts w:ascii="Times New Roman" w:hAnsi="Times New Roman" w:cs="Times New Roman"/>
        </w:rPr>
      </w:pPr>
    </w:p>
    <w:p w14:paraId="03990DDA" w14:textId="77777777" w:rsidR="00F63A87" w:rsidRPr="00654619" w:rsidRDefault="00F63A87">
      <w:pPr>
        <w:spacing w:after="0"/>
        <w:rPr>
          <w:rFonts w:ascii="Times New Roman" w:hAnsi="Times New Roman" w:cs="Times New Roman"/>
        </w:rPr>
      </w:pPr>
      <w:r w:rsidRPr="00654619">
        <w:rPr>
          <w:rFonts w:ascii="Times New Roman" w:hAnsi="Times New Roman" w:cs="Times New Roman"/>
        </w:rPr>
        <w:br w:type="page"/>
      </w:r>
    </w:p>
    <w:p w14:paraId="153B5323" w14:textId="77777777" w:rsidR="005140DD" w:rsidRPr="00654619" w:rsidRDefault="005140DD" w:rsidP="002F1D72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984"/>
      </w:tblGrid>
      <w:tr w:rsidR="007325D9" w:rsidRPr="00654619" w14:paraId="14EBEFEA" w14:textId="77777777" w:rsidTr="34020D8F">
        <w:trPr>
          <w:trHeight w:val="312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C719" w14:textId="62BBCECF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Alapképzés</w:t>
            </w:r>
            <w:r w:rsidR="49CBEF72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II</w:t>
            </w:r>
            <w:r w:rsidR="337A165A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 leendő első éves</w:t>
            </w:r>
          </w:p>
        </w:tc>
      </w:tr>
      <w:tr w:rsidR="007325D9" w:rsidRPr="00654619" w14:paraId="040F2FA8" w14:textId="77777777" w:rsidTr="34020D8F">
        <w:trPr>
          <w:trHeight w:val="3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91B7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Bírálati szempontok (II)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BAC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Pontszám</w:t>
            </w:r>
          </w:p>
        </w:tc>
      </w:tr>
      <w:tr w:rsidR="007325D9" w:rsidRPr="00654619" w14:paraId="46A02301" w14:textId="77777777" w:rsidTr="34020D8F">
        <w:trPr>
          <w:trHeight w:val="49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F168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VERSENYEREDMÉNYEK (a pályázat benyújtását megelőző 5 éven belül elért eredmények)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1786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legfeljebb 300</w:t>
            </w:r>
          </w:p>
        </w:tc>
      </w:tr>
      <w:tr w:rsidR="007325D9" w:rsidRPr="00654619" w14:paraId="26248AFA" w14:textId="77777777" w:rsidTr="34020D8F">
        <w:trPr>
          <w:trHeight w:val="141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C777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A pályázó az Országos Tudományos Diákköri Tanács által adományozott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kitüntetésben részesült (Amennyiben több OTDK helyezése és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 is van a pályázónak, akkor a Pályázati Adatlapon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Aranyérmet, valamint egy OTDK első helyezést kell feltüntetni, de a pontszámításnál kizárólag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vehető figyelembe, mint a magasabb pontszámú eredmény).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DB80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325D9" w:rsidRPr="00654619" w14:paraId="5BA576D7" w14:textId="77777777" w:rsidTr="34020D8F">
        <w:trPr>
          <w:trHeight w:val="9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6B9D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I. helyezéssel rendelkezik (Amennyiben az OTDK-n több helyezést is elért a pályázó, a Pályázati Adatlapon csak a legjobb eredményét kell feltüntetni, az OTDK-n elért I., II., III. helyezésért csak egyszer adható pont.)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5B39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7325D9" w:rsidRPr="00654619" w14:paraId="402FA655" w14:textId="77777777" w:rsidTr="34020D8F">
        <w:trPr>
          <w:trHeight w:val="9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0DD7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II. helyezéssel rendelkezik (Amennyiben az OTDK-n több helyezést is elért a pályázó, a Pályázati Adatlapon csak a legjobb eredményét kell feltüntetni, az OTDK-n elért I., II., III. helyezésért csak egyszer adható pont).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D4FC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7325D9" w:rsidRPr="00654619" w14:paraId="4F7667FE" w14:textId="77777777" w:rsidTr="34020D8F">
        <w:trPr>
          <w:trHeight w:val="104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DC19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III. helyezéssel rendelkezik (Amennyiben az OTDK-n több helyezést is elért a pályázó, a Pályázati Adatlapon csak a legjobb eredményét kell feltüntetni, az OTDK-n elért I., II., III. helyezésért csak egyszer adható pont).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764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7325D9" w:rsidRPr="00654619" w14:paraId="1EAF1550" w14:textId="77777777" w:rsidTr="34020D8F">
        <w:trPr>
          <w:trHeight w:val="127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4BC0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Kiemelkedő nemzetközi versenyeredmény (Az adott tudományterületen kiemelkedőnek számító nemzetközi versenyeredmény, amelynek megítélése a fogadó felsőoktatási intézmény hatáskörébe tartozik; több kiemelkedőnek minősített/egyéb nemzetközi versenyeredmény esetén csak egy eredmény vehető figyelembe és csak egyszer adható a nemzetközi versenyeredményre pontszám.).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BB60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325D9" w:rsidRPr="00654619" w14:paraId="0B73618D" w14:textId="77777777" w:rsidTr="34020D8F">
        <w:trPr>
          <w:trHeight w:val="11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63D2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Egyéb nemzetközi versenyeredmény (Az adott tudományterületen egyéb nemzetközi versenyeredmény, amelynek megítélése a fogadó felsőoktatási intézmény hatáskörébe tartozik; több kiemelkedőnek minősített/egyéb nemzetközi versenyeredmény esetén csak egy eredmény vehető figyelembe és csak egyszer adható a nemzetközi versenyeredményre pontszám).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D40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7325D9" w:rsidRPr="00654619" w14:paraId="47498EEF" w14:textId="77777777" w:rsidTr="34020D8F">
        <w:trPr>
          <w:trHeight w:val="7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14C5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pályázó a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Scimago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Journal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Ranking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szerinti Q1/Q2 és/vagy a Magyar Tudományos Akadémia tudományos osztályai által “A” vagy “B” kategóriába sorolt folyóiratokban megjelent tudományos publikáció szerzője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AC67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325D9" w:rsidRPr="00654619" w14:paraId="6E3644F6" w14:textId="77777777" w:rsidTr="34020D8F">
        <w:trPr>
          <w:trHeight w:val="74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4468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Tanulmányi eredmények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(például 4,5 –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ös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átlag esetén elérhető pontszám számítása: 4,5-4=0,5,x50=25 pont; 5,0 átlagnál: 5,0-4=1x50=50 pont)</w:t>
            </w:r>
          </w:p>
        </w:tc>
      </w:tr>
      <w:tr w:rsidR="007325D9" w:rsidRPr="00654619" w14:paraId="54C76FCE" w14:textId="77777777" w:rsidTr="34020D8F">
        <w:trPr>
          <w:trHeight w:val="137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82E2" w14:textId="53D8AD7A" w:rsidR="00E7606A" w:rsidRPr="00654619" w:rsidRDefault="007325D9" w:rsidP="00E7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Tudományos pályázat esetén: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 w:type="page"/>
              <w:t>· a pályázó középfokú képzésben teljesített utolsó két lezárt félévének számtani átlaga, mínusz 4, szorozva 50-nel,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 w:type="page"/>
              <w:t>· külföldi vagy Magyarországon működő külföldi rendszerű oktatási intézményekben végzettek esetén a felsőoktatási felvételi eljárás keretében megkapott érettségi eredmények (osztályzatok) számtani átlaga, mínusz 4, szorozva 50-nel (a GÓLYA webes programból a Tanulmányi Hivatal biztosítja az adatokat a szakértő számára).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F922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7325D9" w:rsidRPr="00654619" w14:paraId="1B5B8EE1" w14:textId="77777777" w:rsidTr="34020D8F">
        <w:trPr>
          <w:trHeight w:val="720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9850" w14:textId="77777777" w:rsidR="004260CA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Művészeti pályázat esetén: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művészeti felvételi pontszámeredmények alapján a szakértő dönt a pontozásról (a felvételi eredményeket az intézmény a szakértő számára biztosítja).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A pályázat benyújtásáig megvalósult tudományos, művészeti tevékenységek: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tudományos/művészeti díjak, ösztöndíjak;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szakmai-közösségi tevékenység, kutatásokban, kutatási terepmunkában való részvétel;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 ismeretterjesztő/tudománynépszerűsítő tevékenység,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 művészeti teljesítmény, nemzetközi megmérettetés;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publikációs tevékenység (publikációs lista alapján, elektronikusan feltöltött publikációk esetén elegendő az MTMT hivatkozás), egyéb publikált cikkek, közlemények, tanulmányok;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szakmai előadások/kiállítások tartása;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hazai és nemzetközi konferencián, kiállításon való részvétel;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egyéb releváns szakmai tevékenység bemutatása.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Továbbá tudományos és művészeti pályázat esetén: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országos középiskolai tanulmányi vagy tudományos versenyeken való részvétel, eredmény (OKTV 1-10. helyezések esetén a „Tehetséggel fel!” Ösztöndíjpályázatra kell jelentkezni!),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· Országos Tudományos Diákköri Konferencián való részvétel,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iletve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eredmény, (a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Aranyérem/minősített helyezéssel együtt járó részvétel ezen szempontnál nem vehető figyelembe)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a kutató diákok országos konferenciáján való részvétel, illetve eredmény,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hivatalosan dokumentált részvétel a Magyar Tudományos Akadémia által különböző tudományterületeken középiskolás diákok részére szervezett Nyári Tábor munkájában,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hivatalosan dokumentált részvétel felsőoktatási intézmények kollégiumai, alapítványai által középiskolások számára szervezett tudományos kutatótábor munkájában,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középiskolai egyéni és/vagy csoportos tudományos, művészeti tevékenység során elért értékelhető, dokumentált teljesítmény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egyéb középiskolai eredmények</w:t>
            </w:r>
          </w:p>
          <w:p w14:paraId="0219259B" w14:textId="5615D390" w:rsidR="007325D9" w:rsidRPr="00654619" w:rsidRDefault="004260CA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·a pályázó innováció területén végzett kiválósága, különösen iparjogvédelmi oltalommal való rendelkezését. Innovációs teljesítménynek minősülhet bármely ·iparjogvédelmi oltalom, ezen túl például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hackathon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vagy más innovációs versenyen való részvétel, egyetemi hasznosító vállalkozásban való részvétel, K+F+I projektben való részvétel,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Proof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Concept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versenyen való részvétel stb.</w:t>
            </w:r>
            <w:r w:rsidR="007325D9"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Továbbá művészeti területen pályázók esetén: maximum 10 tételes szakmai portfólió összeállítása (művészeti produktum)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50C7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325D9" w:rsidRPr="00654619" w14:paraId="285C3A3B" w14:textId="77777777" w:rsidTr="34020D8F">
        <w:trPr>
          <w:trHeight w:val="84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B24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Matematikai, természettudományos, műszaki és informatikai (MTMI) területen, valamint agrártudományok tudományterületen belül végzett kutatási téma. (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interdiszciplinális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tudományágban végzett kutatási téma esetén a szakértő részpontot is adhat)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FFE7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7325D9" w:rsidRPr="00654619" w14:paraId="23FAE6A1" w14:textId="77777777" w:rsidTr="34020D8F">
        <w:trPr>
          <w:trHeight w:val="107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9FD4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Nyelvtudás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- egy darab felsőfokú nyelvvizsga /C1/ – 4 pont;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- egy darab középfokú nyelvvizsga /B2/ – 2 pont;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AZONBAN legfeljebb 6 pont szerezhető az igazolt idegennyelv-tudásért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8346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325D9" w:rsidRPr="00654619" w14:paraId="62B0D657" w14:textId="77777777" w:rsidTr="34020D8F">
        <w:trPr>
          <w:trHeight w:val="38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6BED" w14:textId="77777777" w:rsidR="007325D9" w:rsidRPr="00654619" w:rsidRDefault="007325D9" w:rsidP="00732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Összesen: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6135" w14:textId="77777777" w:rsidR="007325D9" w:rsidRPr="00654619" w:rsidRDefault="007325D9" w:rsidP="007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400</w:t>
            </w:r>
          </w:p>
        </w:tc>
      </w:tr>
    </w:tbl>
    <w:p w14:paraId="3DBB5C7D" w14:textId="35A35F09" w:rsidR="00E7606C" w:rsidRPr="00654619" w:rsidRDefault="00E7606C" w:rsidP="002F1D72">
      <w:pPr>
        <w:rPr>
          <w:rFonts w:ascii="Times New Roman" w:hAnsi="Times New Roman" w:cs="Times New Roman"/>
        </w:rPr>
      </w:pPr>
    </w:p>
    <w:p w14:paraId="5781ABC4" w14:textId="77777777" w:rsidR="00E7606C" w:rsidRPr="00654619" w:rsidRDefault="00E7606C">
      <w:pPr>
        <w:spacing w:after="0"/>
        <w:rPr>
          <w:rFonts w:ascii="Times New Roman" w:hAnsi="Times New Roman" w:cs="Times New Roman"/>
        </w:rPr>
      </w:pPr>
      <w:r w:rsidRPr="00654619">
        <w:rPr>
          <w:rFonts w:ascii="Times New Roman" w:hAnsi="Times New Roman" w:cs="Times New Roman"/>
        </w:rPr>
        <w:br w:type="page"/>
      </w:r>
    </w:p>
    <w:p w14:paraId="2E3B57C8" w14:textId="77777777" w:rsidR="005140DD" w:rsidRPr="00654619" w:rsidRDefault="005140DD" w:rsidP="002F1D72">
      <w:pPr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841"/>
      </w:tblGrid>
      <w:tr w:rsidR="00E7606C" w:rsidRPr="00654619" w14:paraId="2AAFA28C" w14:textId="77777777" w:rsidTr="7E92D830">
        <w:trPr>
          <w:trHeight w:val="312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085DE59" w14:textId="0D9659D4" w:rsidR="00E7606C" w:rsidRPr="00654619" w:rsidRDefault="00E7606C" w:rsidP="7E92D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Mester</w:t>
            </w:r>
            <w:r w:rsidR="5E424A40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I.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E7606C" w:rsidRPr="00654619" w14:paraId="42882AE7" w14:textId="77777777" w:rsidTr="7E92D830">
        <w:trPr>
          <w:trHeight w:val="3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A0C4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Bírálati szempontok (I)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3E42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Pontszám</w:t>
            </w:r>
          </w:p>
        </w:tc>
      </w:tr>
      <w:tr w:rsidR="00E7606C" w:rsidRPr="00654619" w14:paraId="40753B54" w14:textId="77777777" w:rsidTr="7E92D830">
        <w:trPr>
          <w:trHeight w:val="49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598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VERSENYEREDMÉNYEK (a pályázat benyújtását megelőző 5 éven belül elért eredmények)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904A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legfeljebb 300</w:t>
            </w:r>
          </w:p>
        </w:tc>
      </w:tr>
      <w:tr w:rsidR="00E7606C" w:rsidRPr="00654619" w14:paraId="4A0C78B0" w14:textId="77777777" w:rsidTr="7E92D830">
        <w:trPr>
          <w:trHeight w:val="141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D430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A pályázó az Országos Tudományos Diákköri Tanács által adományozott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kitüntetésben részesült Amennyiben több OTDK helyezése és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 is van a pályázónak, akkor a Pályázati Adatlapon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Aranyérmet, valamint egy OTDK első helyezést kell feltüntetni, de a pontszámításnál kizárólag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vehető figyelembe, mint a magasabb pontszámú eredmény.)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2AFF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7606C" w:rsidRPr="00654619" w14:paraId="2D6FEF65" w14:textId="77777777" w:rsidTr="7E92D830">
        <w:trPr>
          <w:trHeight w:val="112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E209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I. helyezéssel rendelkezik (Amennyiben az OTDK-n több helyezést is elért a pályázó, a Pályázati Adatlapon csak a legjobb eredményét kell feltüntetni, az OTDK-n elért I., II., III. helyezésért csak egyszer adható 100 pont.)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54E7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7606C" w:rsidRPr="00654619" w14:paraId="2EC304EF" w14:textId="77777777" w:rsidTr="7E92D830">
        <w:trPr>
          <w:trHeight w:val="124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C87D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II. helyezéssel rendelkezik (Amennyiben az OTDK-n több helyezést is elért a pályázó, a Pályázati Adatlapon csak a legjobb eredményét kell feltüntetni, az OTDK-n elért I., II., III. helyezésért csak egyszer adható 100 pont.)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323C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7606C" w:rsidRPr="00654619" w14:paraId="27BA64B5" w14:textId="77777777" w:rsidTr="7E92D830">
        <w:trPr>
          <w:trHeight w:val="99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1633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III. helyezéssel rendelkezik (Amennyiben az OTDK-n több helyezést is elért a pályázó, a Pályázati Adatlapon csak a legjobb eredményét kell feltüntetni, az OTDK-n elért I., II., III. helyezésért csak egyszer adható 100 pont.)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600B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7606C" w:rsidRPr="00654619" w14:paraId="1372A7F6" w14:textId="77777777" w:rsidTr="7E92D830">
        <w:trPr>
          <w:trHeight w:val="126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3E02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Kiemelkedő nemzetközi versenyeredmény (Az adott tudományterületen kiemelkedőnek számító nemzetközi versenyeredmény, amelynek megítélése a fogadó felsőoktatási intézmény hatáskörébe tartozik; több kiemelkedőnek minősített/egyéb nemzetközi versenyeredmény esetén csak egy eredmény vehető figyelembe és csak egyszer adható a nemzetközi versenyeredményre pontszám.)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ACCA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7606C" w:rsidRPr="00654619" w14:paraId="0D570E30" w14:textId="77777777" w:rsidTr="7E92D830">
        <w:trPr>
          <w:trHeight w:val="125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5565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Egyéb nemzetközi versenyeredmény (Az adott tudományterületen egyéb nemzetközi versenyeredmény, amelynek megítélése a fogadó felsőoktatási intézmény hatáskörébe tartozik; több kiemelkedőnek minősített/egyéb nemzetközi versenyeredmény esetén csak egy eredmény vehető figyelembe és csak egyszer adható a nemzetközi versenyeredményre pontszám.)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D30A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7606C" w:rsidRPr="00654619" w14:paraId="7C871B11" w14:textId="77777777" w:rsidTr="7E92D830">
        <w:trPr>
          <w:trHeight w:val="85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FBF6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A pályázó a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Scimago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Journal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Ranking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szerinti Q1/Q2 és/vagy a Magyar Tudományos Akadémia tudományos osztályai által “A” vagy “B” kategóriába sorolt folyóiratokban megjelent tudományos publikáció szerzője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F2DF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7606C" w:rsidRPr="00654619" w14:paraId="6798150D" w14:textId="77777777" w:rsidTr="7E92D830">
        <w:trPr>
          <w:trHeight w:val="1650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5502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TANULMÁNYI EREDMÉNYEK: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például 3,9–es átlag esetén elérhető pontszám számítása műszaki képzési terület esetén: 3,9-3,5=0,4x20=8 pont; 5,0 átlagnál: 5,0-3,5=1,5x20=30 pont. Például 4,2–es átlag esetén elérhető pontszám számítása egyéb képzési terület esetén: 4,2-4=0,2x30=6 pont; 5,0 átlagnál: 5,0-4,0=1x30=30 pont</w:t>
            </w:r>
          </w:p>
        </w:tc>
      </w:tr>
      <w:tr w:rsidR="00E7606C" w:rsidRPr="00654619" w14:paraId="7C3A0DED" w14:textId="77777777" w:rsidTr="7E92D830">
        <w:trPr>
          <w:trHeight w:val="636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1119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„I.” típusú osztott mesterképzésre (leendő felsőbb éves hallgatók) jelentkező tudományos, művészeti pályázók: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agrár műszaki, informatika, orvos- és egészségtudomány, természettudomány képzési területeken folyó osztott mesterképzésben teljesített utolsó két lezárt félév súlyozott tanulmányi átlagának számtani átlaga, mínusz 3,5, szorozva 20-szal (kizárólag egy lezárt félév esetén a súlyozott tanulmányi átlag),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egyéb képzési területen folyó osztott mesterképzésben teljesített utolsó két lezárt félév súlyozott tanulmányi átlagának számtani átlaga, mínusz 4, szorozva 30-cal (kizárólag egy lezárt félév esetén a súlyozott tanulmányi átlag).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„I.” típusú osztatlan mesterképzésre (leendő felsőbb éves hallgatók) jelentkező tudományos, művészeti pályázók: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agrár, műszaki, informatika, orvos- és egészségtudomány, természettudomány képzés területeken folyó osztatlan mesterképzésben teljesített utolsó két lezárt félév súlyozott tanulmányi átlagának számtani átlaga, mínusz 3,5, szorozva 20-szal (kizárólag egy lezárt félév esetén a súlyozott tanulmányi átlag),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egyéb képzési területen folyó osztatlan mesterképzésben teljesített utolsó két lezárt félév súlyozott tanulmányi átlagának számtani átlaga, mínusz 4, szorozva 30-cal (kizárólag egy lezárt félév esetén a súlyozott tanulmányi átlag).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„II.” típusú osztott mesterképzésre jelentkező tudományos, művészeti pályázók (leendő első évfolyam):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agrár, műszaki, informatika, orvos- és egészségtudomány, természettudomány képzés területeken folyó alapképzésben teljesített utolsó két lezárt félév súlyozott tanulmányi átlagának számtani átlaga, mínusz 3,5, szorozva 20-szal (kizárólag egy lezárt félév esetén a súlyozott tanulmányi átlag),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egyéb képzési területen folyó alapképzésben teljesített utolsó két lezárt félév súlyozott tanulmányi átlagának számtani átlaga, mínusz 4, szorozva 30-cal (kizárólag egy lezárt félév esetén a súlyozott tanulmányi átlag)</w:t>
            </w:r>
            <w:r w:rsidR="004260CA" w:rsidRPr="0065461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06C8011" w14:textId="6B3D5651" w:rsidR="004260CA" w:rsidRPr="00654619" w:rsidRDefault="004260CA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FF0A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7606C" w:rsidRPr="00654619" w14:paraId="54C09114" w14:textId="77777777" w:rsidTr="7E92D830">
        <w:trPr>
          <w:trHeight w:val="340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F1C7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pályázat benyújtásáig megvalósult tudományos, művészeti tevékenységek: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· TDK, OTDK részvétel (a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Aranyérem/minősített helyezéssel együtt járó részvétel ezen szempontnál nem vehető figyelembe);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szakkollégiumi tevékenység;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tudományos/művészeti díjak, ösztöndíjak;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szakmai-közösségi tevékenység, kutatásokban, kutatási terepmunkában való részvétel;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 ismeretterjesztő/tudománynépszerűsítő tevékenység,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 művészeti teljesítmény, nemzetközi megmérettetés;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publikációs tevékenység (publikációs lista alapján, elektronikusan feltöltött publikációk esetén elegendő az MTMT hivatkozás), egyéb publikált cikkek, közlemények, tanulmányok;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szakmai előadások/kiállítások tartása;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hazai és nemzetközi konferencián, kiállításon való részvétel;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egyéb releváns szakmai tevékenység bemutatása</w:t>
            </w:r>
            <w:r w:rsidR="004260CA" w:rsidRPr="0065461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A35417F" w14:textId="3CA30C26" w:rsidR="004260CA" w:rsidRPr="00654619" w:rsidRDefault="004260CA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·a pályázó innováció területén végzett kiválósága, különösen iparjogvédelmi oltalommal való rendelkezését. Innovációs teljesítménynek minősülhet bármely ·iparjogvédelmi oltalom, ezen túl például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hackathon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vagy más innovációs versenyen való részvétel, egyetemi hasznosító vállalkozásban való részvétel, K+F+I projektben való részvétel,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Proof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Concept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versenyen való részvétel stb.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7D7A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7606C" w:rsidRPr="00654619" w14:paraId="0DFFBB6C" w14:textId="77777777" w:rsidTr="7E92D830">
        <w:trPr>
          <w:trHeight w:val="97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8B59" w14:textId="6220F271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Matematikai, természettudományos, műszaki és informatikai (MTMI) területen, valamint agrártudományok tudományterületen belül végzett kutatási téma</w:t>
            </w:r>
            <w:r w:rsidR="00C64451"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interdiszciplinális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tudományágban végzett kutatási téma esetén a szakértő részpontot is adhat)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C26E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7606C" w:rsidRPr="00654619" w14:paraId="57663B73" w14:textId="77777777" w:rsidTr="7E92D830">
        <w:trPr>
          <w:trHeight w:val="156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E053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kutatási terv kutatócsoport16 keretében kerül megvalósításra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VAGY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A pályázó az Eötvös Loránd Kutatási Hálózattal vagy a fogadó felsőoktatási intézményen kívüli felsőoktatási intézménnyel kutatócsoport keretében együttműködik a kutatási terve megvalósítása során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8B93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7606C" w:rsidRPr="00654619" w14:paraId="6E19B940" w14:textId="77777777" w:rsidTr="7E92D830">
        <w:trPr>
          <w:trHeight w:val="93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9BB3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Nyelvtudás - egy darab felsőfokú nyelvvizsga /C1/ – 4 pont;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- egy darab középfokú nyelvvizsga /B2/ – 2 pont;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AZONBAN legfeljebb 6 pont szerezhető az igazolt idegennyelvtudásért.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CB3E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7606C" w:rsidRPr="00654619" w14:paraId="3A6E428A" w14:textId="77777777" w:rsidTr="7E92D830">
        <w:trPr>
          <w:trHeight w:val="156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C123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Kutatási terv: 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4357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7606C" w:rsidRPr="00654619" w14:paraId="002545BB" w14:textId="77777777" w:rsidTr="7E92D830">
        <w:trPr>
          <w:trHeight w:val="44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6B1F" w14:textId="77777777" w:rsidR="00E7606C" w:rsidRPr="00654619" w:rsidRDefault="00E7606C" w:rsidP="00E76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4692" w14:textId="77777777" w:rsidR="00E7606C" w:rsidRPr="00654619" w:rsidRDefault="00E7606C" w:rsidP="00E7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400</w:t>
            </w:r>
          </w:p>
        </w:tc>
      </w:tr>
    </w:tbl>
    <w:p w14:paraId="470E1FF2" w14:textId="77777777" w:rsidR="00E7606C" w:rsidRPr="00654619" w:rsidRDefault="00E7606C" w:rsidP="002F1D72">
      <w:pPr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842"/>
      </w:tblGrid>
      <w:tr w:rsidR="00A22F34" w:rsidRPr="00654619" w14:paraId="3494133A" w14:textId="77777777" w:rsidTr="7E92D830">
        <w:trPr>
          <w:trHeight w:val="312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B33280B" w14:textId="497D4984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Mester </w:t>
            </w:r>
            <w:r w:rsidR="15476704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II.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 leendő </w:t>
            </w:r>
            <w:r w:rsidR="514F5BEE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utolsó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éves</w:t>
            </w:r>
            <w:r w:rsidR="7796FE03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doktori képzésre jelentkező</w:t>
            </w:r>
          </w:p>
        </w:tc>
      </w:tr>
      <w:tr w:rsidR="00A22F34" w:rsidRPr="00654619" w14:paraId="75E23199" w14:textId="77777777" w:rsidTr="7E92D830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5AC2" w14:textId="4F34C6E8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Bírálati szempontok (II)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9147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Pontszám</w:t>
            </w:r>
          </w:p>
        </w:tc>
      </w:tr>
      <w:tr w:rsidR="00A22F34" w:rsidRPr="00654619" w14:paraId="4328A37E" w14:textId="77777777" w:rsidTr="7E92D830">
        <w:trPr>
          <w:trHeight w:val="6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AE80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VERSENYEREDMÉNYEK (a pályázat benyújtását megelőző 5 éven belül elért eredmények)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17F9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legfeljebb 300 pont</w:t>
            </w:r>
          </w:p>
        </w:tc>
      </w:tr>
      <w:tr w:rsidR="00A22F34" w:rsidRPr="00654619" w14:paraId="54F6C112" w14:textId="77777777" w:rsidTr="7E92D830">
        <w:trPr>
          <w:trHeight w:val="146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FDA1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A pályázó az Országos Tudományos Diákköri Tanács által adományozott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kitüntetésben részesült (Amennyiben több OTDK helyezése és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 is van a pályázónak, akkor a Pályázati Adatlapon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Aranyérmet, valamint egy OTDK első helyezést kell feltüntetni, de a pontszámításnál kizárólag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vehető figyelembe, mint a magasabb pontszámú eredmény.)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CFB3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A22F34" w:rsidRPr="00654619" w14:paraId="7E5A4798" w14:textId="77777777" w:rsidTr="7E92D830">
        <w:trPr>
          <w:trHeight w:val="988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AE7A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I. helyezéssel rendelkezik (Amennyiben az OTDK-n több helyezést is elért a pályázó, a Pályázati Adatlapon csak a legjobb eredményét kell feltüntetni, az OTDK-n elért I., II., III. helyezésért csak egyszer adható 100 pont.)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371E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A22F34" w:rsidRPr="00654619" w14:paraId="29D8C572" w14:textId="77777777" w:rsidTr="7E92D830">
        <w:trPr>
          <w:trHeight w:val="1126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A048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II. helyezéssel rendelkezik (Amennyiben az OTDK-n több helyezést is elért a pályázó, a Pályázati Adatlapon csak a legjobb eredményét kell feltüntetni, az OTDK-n elért I., II., III. helyezésért csak egyszer adható 100 pont.)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D2FC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A22F34" w:rsidRPr="00654619" w14:paraId="20BE2CAF" w14:textId="77777777" w:rsidTr="7E92D830">
        <w:trPr>
          <w:trHeight w:val="976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6D38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III. helyezéssel rendelkezik (Amennyiben az OTDK-n több helyezést is elért a pályázó, a Pályázati Adatlapon csak a legjobb eredményét kell feltüntetni, az OTDK-n elért I., II., III. helyezésért csak egyszer adható 100 pont.)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F022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A22F34" w:rsidRPr="00654619" w14:paraId="4CB90AF2" w14:textId="77777777" w:rsidTr="7E92D830">
        <w:trPr>
          <w:trHeight w:val="111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F15E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Kiemelkedő nemzetközi versenyeredmény (Az adott tudományterületen kiemelkedőnek számító nemzetközi versenyeredmény, amelynek megítélése a fogadó felsőoktatási intézmény hatáskörébe tartozik; több kiemelkedőnek minősített/egyéb nemzetközi versenyeredmény esetén csak egy eredmény vehető figyelembe és csak egyszer adható a nemzetközi versenyeredményre pontszám.)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7B0A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A22F34" w:rsidRPr="00654619" w14:paraId="78FA44CD" w14:textId="77777777" w:rsidTr="7E92D830">
        <w:trPr>
          <w:trHeight w:val="124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B75C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Egyéb nemzetközi versenyeredmény (Az adott tudományterületen egyéb nemzetközi versenyeredmény, amelynek megítélése a fogadó felsőoktatási intézmény hatáskörébe tartozik; több kiemelkedőnek minősített/egyéb nemzetközi versenyeredmény esetén csak egy eredmény vehető figyelembe és csak egyszer adható a nemzetközi versenyeredményre pontszám.)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2F46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A22F34" w:rsidRPr="00654619" w14:paraId="37EF514F" w14:textId="77777777" w:rsidTr="7E92D830">
        <w:trPr>
          <w:trHeight w:val="698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6B67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A pályázó a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Scimago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Journal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Ranking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szerinti Q1/Q2 és/vagy a Magyar Tudományos Akadémia tudományos osztályai által “A” vagy “B” kategóriába sorolt folyóiratokban megjelent tudományos publikáció szerzője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1CDD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A22F34" w:rsidRPr="00654619" w14:paraId="2204B5D0" w14:textId="77777777" w:rsidTr="7E92D830">
        <w:trPr>
          <w:trHeight w:val="978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30F0376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TANULMÁNYI EREDMÉNYEK: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például 3,9–es átlag esetén elérhető pontszám számítása műszaki képzési terület esetén: 3,9-3,5=0,4x20=8 pont; 5,0 átlagnál: 5,0-3,5=1,5x20=30 pont. Például 4,2–es átlag esetén elérhető pontszám számítása egyéb képzési terület esetén: 4,2-4=0,2x30=6 pont; 5,0 átlagnál: 5,0-4,0=1x30=30 pont</w:t>
            </w:r>
          </w:p>
        </w:tc>
      </w:tr>
      <w:tr w:rsidR="00A22F34" w:rsidRPr="00654619" w14:paraId="64B601BB" w14:textId="77777777" w:rsidTr="7E92D830">
        <w:trPr>
          <w:trHeight w:val="253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AE6D" w14:textId="51534242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 w:themeColor="text1"/>
              </w:rPr>
              <w:t>“II.” típusú osztott vagy osztatlan mesterképzésre (leendő felsőbb éves hallgatók és leendő utolsó éves) jelentkező tudományos, művészeti pályázók:</w:t>
            </w:r>
            <w:r w:rsidRPr="00654619">
              <w:rPr>
                <w:sz w:val="24"/>
                <w:szCs w:val="24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color w:val="000000" w:themeColor="text1"/>
              </w:rPr>
              <w:t>· agrár műszaki, informatika, orvos- és egészségtudomány, természettudomány képzési területeken folyó osztott VAGY osztatlan mesterképzésben teljesített utolsó két lezárt félév súlyozott tanulmányi átlagának számtani átlaga, mínusz 3,5, szorozva 20-szal (kizárólag egy lezárt félév esetén a súlyozott tanulmányi átlag),</w:t>
            </w:r>
            <w:r w:rsidRPr="00654619">
              <w:rPr>
                <w:sz w:val="24"/>
                <w:szCs w:val="24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color w:val="000000" w:themeColor="text1"/>
              </w:rPr>
              <w:t>· egyéb képzési területen folyó osztott VAGY osztatlan mesterképzésben teljesített utolsó két lezárt félév súlyozott tanulmányi átlagának számtani átlaga, mínusz 4, szorozva 30-cal (kizárólag egy lezárt félév esetén a súlyozott tanulmányi átlag).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87A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A22F34" w:rsidRPr="00654619" w14:paraId="5AC8A44C" w14:textId="77777777" w:rsidTr="7E92D830">
        <w:trPr>
          <w:trHeight w:val="33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9A78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pályázat benyújtásáig megvalósult tudományos, művészeti tevékenységek: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· TDK, OTDK részvétel (a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Aranyérem/minősített helyezéssel együtt járó részvétel ezen szempontnál nem vehető figyelembe);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szakkollégiumi tevékenység;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tudományos/művészeti díjak, ösztöndíjak;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szakmai-közösségi tevékenység, kutatásokban, kutatási terepmunkában való részvétel;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 ismeretterjesztő/tudománynépszerűsítő tevékenység,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tudományos művészeti teljesítmény, nemzetközi megmérettetés;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publikációs tevékenység (publikációs lista alapján, elektronikusan feltöltött publikációk esetén elegendő az MTMT hivatkozás), egyéb publikált cikkek, közlemények, tanulmányok;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szakmai előadások/kiállítások tartása;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hazai és nemzetközi konferencián, kiállításon való részvétel;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· egyéb releváns szakmai tevékenység bemutatása</w:t>
            </w:r>
            <w:r w:rsidR="004260CA" w:rsidRPr="0065461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56D52BA" w14:textId="4B8EB42D" w:rsidR="004260CA" w:rsidRPr="00654619" w:rsidRDefault="004260CA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·a pályázó innováció területén végzett kiválósága, különösen iparjogvédelmi oltalommal való rendelkezését. Innovációs teljesítménynek minősülhet bármely ·iparjogvédelmi oltalom, ezen túl például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hackathon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vagy más innovációs versenyen való részvétel, egyetemi hasznosító vállalkozásban való részvétel, K+F+I projektben való részvétel,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Proof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Concept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versenyen való részvétel stb.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83B6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A22F34" w:rsidRPr="00654619" w14:paraId="7DBD33E5" w14:textId="77777777" w:rsidTr="7E92D830">
        <w:trPr>
          <w:trHeight w:val="99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E6E0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Matematikai, természettudományos, műszaki és informatikai (MTMI) területen, valamint agrártudományok tudományterületen belül végzett kutatási téma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interdiszciplinális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tudományágban végzett kutatási téma esetén a szakértő részpontot is adhat)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1576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22F34" w:rsidRPr="00654619" w14:paraId="3033CF74" w14:textId="77777777" w:rsidTr="7E92D830">
        <w:trPr>
          <w:trHeight w:val="126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C4D6" w14:textId="076FE536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 kutatási terv kutatócsoport keretében kerül megvalósításra</w:t>
            </w:r>
            <w:r w:rsidRPr="00654619">
              <w:rPr>
                <w:sz w:val="24"/>
                <w:szCs w:val="24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VAGY</w:t>
            </w:r>
            <w:r w:rsidRPr="00654619">
              <w:rPr>
                <w:sz w:val="24"/>
                <w:szCs w:val="24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 pályázó az Eötvös Loránd Kutatási Hálózattal vagy a fogadó felsőoktatási intézményen kívüli felsőoktatási intézménnyel kutatócsoport keretében együttműködik a kutatási terve megvalósítása során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2E44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22F34" w:rsidRPr="00654619" w14:paraId="590CC272" w14:textId="77777777" w:rsidTr="7E92D830">
        <w:trPr>
          <w:trHeight w:val="7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6C95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Nyelvtudás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- egy darab felsőfokú nyelvvizsga /C1/ – 4 pont;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- egy darab középfokú nyelvvizsga /B2/ – 2 pont;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AZONBAN legfeljebb 6 pont szerezhető az igazolt idegennyelvtudásért.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68FE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22F34" w:rsidRPr="00654619" w14:paraId="65BD1442" w14:textId="77777777" w:rsidTr="7E92D830">
        <w:trPr>
          <w:trHeight w:val="1451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7816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Kutatási terv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DAAD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A22F34" w:rsidRPr="00654619" w14:paraId="5A314B8C" w14:textId="77777777" w:rsidTr="7E92D830">
        <w:trPr>
          <w:trHeight w:val="936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A18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kutatási tervben és a pályázói adatlapon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megjelölt doktori képzés részét képező felkészülésben való részvétel hozzájárulása a doktori képzésbe történő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bekerüléshez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és a doktori tanulmányokhoz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D6B2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A22F34" w:rsidRPr="00654619" w14:paraId="4F00CD2E" w14:textId="77777777" w:rsidTr="7E92D830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E61" w14:textId="77777777" w:rsidR="00A22F34" w:rsidRPr="00654619" w:rsidRDefault="00A22F34" w:rsidP="00A22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74E2" w14:textId="77777777" w:rsidR="00A22F34" w:rsidRPr="00654619" w:rsidRDefault="00A22F34" w:rsidP="00A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430</w:t>
            </w:r>
          </w:p>
        </w:tc>
      </w:tr>
    </w:tbl>
    <w:p w14:paraId="63FB2BDD" w14:textId="318DFC12" w:rsidR="0031405D" w:rsidRPr="00654619" w:rsidRDefault="0031405D" w:rsidP="002F1D72">
      <w:pPr>
        <w:rPr>
          <w:rFonts w:ascii="Times New Roman" w:hAnsi="Times New Roman" w:cs="Times New Roman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842"/>
      </w:tblGrid>
      <w:tr w:rsidR="00BC2CEA" w:rsidRPr="00654619" w14:paraId="2126F013" w14:textId="77777777" w:rsidTr="34020D8F">
        <w:trPr>
          <w:trHeight w:val="8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3CFC" w14:textId="77777777" w:rsidR="0031405D" w:rsidRPr="00654619" w:rsidRDefault="0031405D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EB0D6A3" w14:textId="40FA2720" w:rsidR="00BC2CEA" w:rsidRPr="00654619" w:rsidRDefault="54B7BEA3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Doktori </w:t>
            </w:r>
            <w:r w:rsidR="45648A18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I.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- 2024/2025. tanévre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bármely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munkarendben meghirdetett doktori képzésre felvételi jelentkezési kérelmet nyújtottak be vagy szándékoznak benyújtani</w:t>
            </w:r>
          </w:p>
        </w:tc>
      </w:tr>
      <w:tr w:rsidR="00BC2CEA" w:rsidRPr="00654619" w14:paraId="2EF58C2D" w14:textId="77777777" w:rsidTr="34020D8F">
        <w:trPr>
          <w:trHeight w:val="3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DFF7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Bírálati szempontok (I)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097C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Pontszám</w:t>
            </w:r>
          </w:p>
        </w:tc>
      </w:tr>
      <w:tr w:rsidR="00BC2CEA" w:rsidRPr="00654619" w14:paraId="499E0B91" w14:textId="77777777" w:rsidTr="34020D8F">
        <w:trPr>
          <w:trHeight w:val="3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61AF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Tudományos teljesítmény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270D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175 pont</w:t>
            </w:r>
          </w:p>
        </w:tc>
      </w:tr>
      <w:tr w:rsidR="00BC2CEA" w:rsidRPr="00654619" w14:paraId="48800B55" w14:textId="77777777" w:rsidTr="34020D8F">
        <w:trPr>
          <w:trHeight w:val="139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9E9B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A pályázó az Országos Tudományos Diákköri Tanács által adományozott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kitüntetésben részesült (Amennyiben több OTDK helyezése és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 is van a pályázónak, akkor a Pályázati Adatlapon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Aranyérmet, valamint egy db OTDK első helyezést kell feltüntetni, de a pontszámításnál kizárólag a Pro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Scientia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Arte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Aranyérem vehető figyelembe, mint a magasabb pontszámú eredmény.)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6D7C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BC2CEA" w:rsidRPr="00654619" w14:paraId="02A62471" w14:textId="77777777" w:rsidTr="34020D8F">
        <w:trPr>
          <w:trHeight w:val="97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9B2F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I. helyezéssel rendelkezik (Amennyiben az OTDK-n több helyezést is elért a pályázó, a Pályázati Adatlapon csak a legjobb eredményét kell feltüntetni, az OTDK-n elért I., II., III. helyezésért csak egyszer adható pont.)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5C13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BC2CEA" w:rsidRPr="00654619" w14:paraId="64B22BB9" w14:textId="77777777" w:rsidTr="34020D8F">
        <w:trPr>
          <w:trHeight w:val="99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A6DE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II. helyezéssel rendelkezik (Amennyiben az OTDK-n több helyezést is elért a pályázó, a Pályázati Adatlapon csak a legjobb eredményét kell feltüntetni, az OTDK-n elért I., II., III. helyezésért csak egyszer adható pont.)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65BE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BC2CEA" w:rsidRPr="00654619" w14:paraId="34B00CAE" w14:textId="77777777" w:rsidTr="34020D8F">
        <w:trPr>
          <w:trHeight w:val="124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AD62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az Országos Tudományos Diákköri Konferencián (OTDK) elért III. helyezéssel rendelkezik; (Amennyiben az OTDK-n több helyezést is elért a pályázó, a Pályázati Adatlapon csak a legjobb eredményét kell feltüntetni, az OTDK-n elért I., II., III. helyezésért csak egyszer adható pont.)</w:t>
            </w:r>
          </w:p>
          <w:p w14:paraId="2244423C" w14:textId="27C85A9C" w:rsidR="004260CA" w:rsidRPr="00654619" w:rsidRDefault="004260C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AC19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BC2CEA" w:rsidRPr="00654619" w14:paraId="51AF8DE8" w14:textId="77777777" w:rsidTr="34020D8F">
        <w:trPr>
          <w:trHeight w:val="62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41A1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 doktori fokozat megszerzéséhez szükséges, a doktori iskola által beszámításra kerülő szakmai és művészeti teljesítmény legalább 50%-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ával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rendelkezik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B634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50-75</w:t>
            </w:r>
          </w:p>
        </w:tc>
      </w:tr>
      <w:tr w:rsidR="00BC2CEA" w:rsidRPr="00654619" w14:paraId="6DB6424D" w14:textId="77777777" w:rsidTr="34020D8F">
        <w:trPr>
          <w:trHeight w:val="62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CCC7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A pályázó a doktori fokozat megszerzéséhez szükséges, a doktori iskola által beszámításra kerülő szakmai és művészeti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teljesítménylegalább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25-49%-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ával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rendelkezik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E3C7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25-49</w:t>
            </w:r>
          </w:p>
        </w:tc>
      </w:tr>
      <w:tr w:rsidR="00BC2CEA" w:rsidRPr="00654619" w14:paraId="1D801961" w14:textId="77777777" w:rsidTr="34020D8F">
        <w:trPr>
          <w:trHeight w:val="94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6B4E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Megadott szabadalom/mintaoltalom (Amennyiben a pályázó több szabadalommal/mintaoltalommal rendelkezik, úgy azokból egy-egy vehető figyelembe, azaz ezen szempontokra egyszer adható maximum 75/50 pont (összesen legfeljebb 125 pont))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2F09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legfeljebb 125 pont</w:t>
            </w:r>
          </w:p>
        </w:tc>
      </w:tr>
      <w:tr w:rsidR="00BC2CEA" w:rsidRPr="00654619" w14:paraId="08917119" w14:textId="77777777" w:rsidTr="34020D8F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5F0D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szabadalommal rendelkezik, amelyben a saját része legalább 50%.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5421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BC2CEA" w:rsidRPr="00654619" w14:paraId="7B7884C4" w14:textId="77777777" w:rsidTr="34020D8F">
        <w:trPr>
          <w:trHeight w:val="3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9044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szabadalommal rendelkezik, amelyben a saját része 25-49%.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65C8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BC2CEA" w:rsidRPr="00654619" w14:paraId="74043865" w14:textId="77777777" w:rsidTr="34020D8F">
        <w:trPr>
          <w:trHeight w:val="3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4E9C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mintaoltalommal rendelkezik, amelyben a saját része legalább 50%.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96CE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BC2CEA" w:rsidRPr="00654619" w14:paraId="5D6E8983" w14:textId="77777777" w:rsidTr="34020D8F">
        <w:trPr>
          <w:trHeight w:val="48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798B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mintaoltalommal rendelkezik, amelyben a saját része 25-49%.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B745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BC2CEA" w:rsidRPr="00654619" w14:paraId="46080A36" w14:textId="77777777" w:rsidTr="34020D8F">
        <w:trPr>
          <w:trHeight w:val="22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5050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Tudományos/művészeti díjak, ösztöndíjak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F236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15</w:t>
            </w:r>
          </w:p>
        </w:tc>
      </w:tr>
      <w:tr w:rsidR="00BC2CEA" w:rsidRPr="00654619" w14:paraId="2D80D54E" w14:textId="77777777" w:rsidTr="34020D8F">
        <w:trPr>
          <w:trHeight w:val="97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DE57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Matematikai, természettudományos, műszaki és informatikai (MTMI) területen, valamint agrártudományok tudományterületen belül végzett kutatási téma (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interdiszciplinális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tudományágban végzett kutatási téma esetén a szakértő részpontot is adhat)</w:t>
            </w:r>
          </w:p>
          <w:p w14:paraId="3D7C988D" w14:textId="4A516687" w:rsidR="004260CA" w:rsidRPr="00654619" w:rsidRDefault="004260C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Iparjogvédelmi oltalom, ezen túl például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hackathon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vagy más innovációs versenyen való részvétel, egyetemi hasznosító vállalkozásban való részvétel, K+F+I projektben való részvétel,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Proof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of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Concept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versenyen való részvétel stb.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3861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BC2CEA" w:rsidRPr="00654619" w14:paraId="5DF093D9" w14:textId="77777777" w:rsidTr="34020D8F">
        <w:trPr>
          <w:trHeight w:val="99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D2C0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A pályázatban benyújtott kutatási terv kutatócsoport13 keretében kerül megvalósítására, VAGY a Pályázó az Eötvös Loránd Kutatási Hálózat, vagy a fogadó felsőoktatási intézményen kívüli kutatócsoport keretében dolgozik a kutatási terve megvalósításán.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D92E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BC2CEA" w:rsidRPr="00654619" w14:paraId="658E863D" w14:textId="77777777" w:rsidTr="34020D8F">
        <w:trPr>
          <w:trHeight w:val="50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D960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Egyéb szakmai tevékenység (pl. részvétel tudományos közéletben, szerkesztői, szakértői-bírálói tevékenység, tudományos ismeretterjesztő tevékenység, stb.)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2725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10</w:t>
            </w:r>
          </w:p>
        </w:tc>
      </w:tr>
      <w:tr w:rsidR="00BC2CEA" w:rsidRPr="00654619" w14:paraId="441451D6" w14:textId="77777777" w:rsidTr="34020D8F">
        <w:trPr>
          <w:trHeight w:val="156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BD29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Kutatási terv: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900F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40</w:t>
            </w:r>
          </w:p>
        </w:tc>
      </w:tr>
      <w:tr w:rsidR="00BC2CEA" w:rsidRPr="00654619" w14:paraId="54850A94" w14:textId="77777777" w:rsidTr="34020D8F">
        <w:trPr>
          <w:trHeight w:val="3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5608" w14:textId="77777777" w:rsidR="00BC2CEA" w:rsidRPr="00654619" w:rsidRDefault="00BC2CEA" w:rsidP="00BC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Összesen: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6234" w14:textId="77777777" w:rsidR="00BC2CEA" w:rsidRPr="00654619" w:rsidRDefault="00BC2CEA" w:rsidP="00BC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380 pont</w:t>
            </w:r>
          </w:p>
        </w:tc>
      </w:tr>
    </w:tbl>
    <w:p w14:paraId="75289189" w14:textId="77777777" w:rsidR="003642D4" w:rsidRPr="00654619" w:rsidRDefault="003642D4" w:rsidP="002F1D72">
      <w:pPr>
        <w:rPr>
          <w:rFonts w:ascii="Times New Roman" w:hAnsi="Times New Roman" w:cs="Times New Roman"/>
        </w:rPr>
      </w:pPr>
    </w:p>
    <w:tbl>
      <w:tblPr>
        <w:tblW w:w="8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701"/>
      </w:tblGrid>
      <w:tr w:rsidR="003642D4" w:rsidRPr="00654619" w14:paraId="2091120F" w14:textId="77777777" w:rsidTr="34020D8F">
        <w:trPr>
          <w:trHeight w:val="840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5C11A8D" w14:textId="77777777" w:rsidR="0021162E" w:rsidRPr="00654619" w:rsidRDefault="0021162E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4CABBBC" w14:textId="1AB71DE2" w:rsidR="003642D4" w:rsidRPr="00654619" w:rsidRDefault="6853234A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Doktori </w:t>
            </w:r>
            <w:r w:rsidR="158B97EA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II.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- 2024/2025. tanévre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bármely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munkarendben hallgatói jogviszonyban állnak és komplex vizsgájukat az ösztöndíjas jogviszony kezdetéig teljesítik</w:t>
            </w:r>
          </w:p>
        </w:tc>
      </w:tr>
      <w:tr w:rsidR="003642D4" w:rsidRPr="00654619" w14:paraId="4FB5B571" w14:textId="77777777" w:rsidTr="34020D8F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9F8A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Bírálati szempontok (II)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6605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Pontszám</w:t>
            </w:r>
          </w:p>
        </w:tc>
      </w:tr>
      <w:tr w:rsidR="003642D4" w:rsidRPr="00654619" w14:paraId="3E066731" w14:textId="77777777" w:rsidTr="34020D8F">
        <w:trPr>
          <w:trHeight w:val="18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91E9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Tudományos teljesítmény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53AA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100 pont</w:t>
            </w:r>
          </w:p>
        </w:tc>
      </w:tr>
      <w:tr w:rsidR="003642D4" w:rsidRPr="00654619" w14:paraId="7DFB0412" w14:textId="77777777" w:rsidTr="34020D8F">
        <w:trPr>
          <w:trHeight w:val="541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2C1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 doktori fokozat megszerzéséhez szükséges, a doktori iskola által beszámításra kerülő szakmai és művészeti teljesítmény legalább 100%-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ával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rendelkezik.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A252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642D4" w:rsidRPr="00654619" w14:paraId="158FE92F" w14:textId="77777777" w:rsidTr="34020D8F">
        <w:trPr>
          <w:trHeight w:val="56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100A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 doktori fokozat megszerzéséhez szükséges, a doktori iskola által beszámításra kerülő szakmai és művészeti teljesítmény 75-99%-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ával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rendelkezik.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1FE1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75-99</w:t>
            </w:r>
          </w:p>
        </w:tc>
      </w:tr>
      <w:tr w:rsidR="003642D4" w:rsidRPr="00654619" w14:paraId="2D92FE09" w14:textId="77777777" w:rsidTr="34020D8F">
        <w:trPr>
          <w:trHeight w:val="55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8006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 doktori fokozat megszerzéséhez szükséges, a doktori iskola által beszámításra kerülő szakmai és művészeti teljesítmény 50-74%-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ával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rendelkezik.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38C0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50-74</w:t>
            </w:r>
          </w:p>
        </w:tc>
      </w:tr>
      <w:tr w:rsidR="003642D4" w:rsidRPr="00654619" w14:paraId="4C91FB10" w14:textId="77777777" w:rsidTr="34020D8F">
        <w:trPr>
          <w:trHeight w:val="44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6267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a doktori fokozat megszerzéséhez szükséges, a doktori iskola által beszámításra kerülő szakmai és művészeti teljesítmény 25-49%-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>ával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rendelkezik.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0007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25-49</w:t>
            </w:r>
          </w:p>
        </w:tc>
      </w:tr>
      <w:tr w:rsidR="003642D4" w:rsidRPr="00654619" w14:paraId="5A0FC37A" w14:textId="77777777" w:rsidTr="34020D8F">
        <w:trPr>
          <w:trHeight w:val="27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6B95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Megadott szabadalom/mintaoltalom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F3A4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125</w:t>
            </w:r>
          </w:p>
        </w:tc>
      </w:tr>
      <w:tr w:rsidR="003642D4" w:rsidRPr="00654619" w14:paraId="2C8B5273" w14:textId="77777777" w:rsidTr="34020D8F">
        <w:trPr>
          <w:trHeight w:val="35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048D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szabadalommal rendelkezik, amelyben a saját része legalább 50%.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57E8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3642D4" w:rsidRPr="00654619" w14:paraId="4B1ADFA2" w14:textId="77777777" w:rsidTr="34020D8F">
        <w:trPr>
          <w:trHeight w:val="329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C04B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szabadalommal rendelkezik, amelyben a saját része 25-49%.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F820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3642D4" w:rsidRPr="00654619" w14:paraId="4EBBC363" w14:textId="77777777" w:rsidTr="34020D8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14EE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mintaoltalommal rendelkezik, amelyben a saját része legalább 50%.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C874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3642D4" w:rsidRPr="00654619" w14:paraId="3B297F4D" w14:textId="77777777" w:rsidTr="34020D8F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7E1D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mintaoltalommal rendelkezik, amelyben a saját része 25-49%.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ED82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3642D4" w:rsidRPr="00654619" w14:paraId="44D32276" w14:textId="77777777" w:rsidTr="34020D8F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762E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Tudományos/művészeti díjak, ösztöndíjak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87F1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15</w:t>
            </w:r>
          </w:p>
        </w:tc>
      </w:tr>
      <w:tr w:rsidR="003642D4" w:rsidRPr="00654619" w14:paraId="342C7E6A" w14:textId="77777777" w:rsidTr="34020D8F">
        <w:trPr>
          <w:trHeight w:val="708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D0A5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Agrártudományok, matematikai, természettudományos, műszaki és informatikai (MTMI) tudományterületen belül művelt kutatási téma (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interdiszciplinális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tudományágban végzett kutatási téma esetén a szakértő részpontot is adhat)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4A98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3642D4" w:rsidRPr="00654619" w14:paraId="0E511653" w14:textId="77777777" w:rsidTr="34020D8F">
        <w:trPr>
          <w:trHeight w:val="260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024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 kutatási terv kutatócsoport keretében kerül megvalósítására VAGY A Pályázó az Eötvös Loránd Kutatási Hálózattal, vagy a fogadó felsőoktatási intézményen kívüli kutatócsoport keretében dolgozik a kutatási terve megvalósításán.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Kutatócsoport: Legalább 3 főből álló azonos kutatási témában írásbeli megállapodás alapján létrejött kutatási együttműködés, amely rendelkezik kutatási programmal. A kutatócsoport vezetője a pályázat beadásának időpontjában legalább PhD/DLA fokozattal vagy az egyetem doktori tanácsának igazolásával rendelkezik és a befogadó felsőoktatási intézmény a kutatócsoport működéséhez szükséges infrastrukturális feltételeket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biztosítja. A kutatócsoport keretében történő együttműködést igazolni szükséges legalább tanszékvezetői szinten.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E16F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</w:tr>
      <w:tr w:rsidR="003642D4" w:rsidRPr="00654619" w14:paraId="2A6C7B23" w14:textId="77777777" w:rsidTr="34020D8F">
        <w:trPr>
          <w:trHeight w:val="698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58F8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Egyéb szakmai tevékenység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(pl. részvétel tudományos közéletben, szerkesztői, szakértői, bírálói tevékenység, tudományos ismeretterjesztő tevékenység, stb.)</w:t>
            </w:r>
          </w:p>
          <w:p w14:paraId="57D22E11" w14:textId="1F23E0E3" w:rsidR="004260CA" w:rsidRPr="00654619" w:rsidRDefault="004260CA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Iparjogvédelmi oltalom, ezen túl például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hackathon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vagy más innovációs versenyen való részvétel, egyetemi hasznosító vállalkozásban való részvétel, K+F+I projektben való részvétel,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Proof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of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Concept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versenyen való részvétel stb.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19B1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10</w:t>
            </w:r>
          </w:p>
        </w:tc>
      </w:tr>
      <w:tr w:rsidR="003642D4" w:rsidRPr="00654619" w14:paraId="2A54B587" w14:textId="77777777" w:rsidTr="34020D8F">
        <w:trPr>
          <w:trHeight w:val="168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AD68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Kutatási terv: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tervmegismertetésére vonatkozó kommunikációs csatornák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3164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40</w:t>
            </w:r>
          </w:p>
        </w:tc>
      </w:tr>
      <w:tr w:rsidR="003642D4" w:rsidRPr="00654619" w14:paraId="71C7C51D" w14:textId="77777777" w:rsidTr="34020D8F">
        <w:trPr>
          <w:trHeight w:val="35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BA9D" w14:textId="77777777" w:rsidR="003642D4" w:rsidRPr="00654619" w:rsidRDefault="003642D4" w:rsidP="0036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BFD9" w14:textId="77777777" w:rsidR="003642D4" w:rsidRPr="00654619" w:rsidRDefault="003642D4" w:rsidP="0036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305 pont</w:t>
            </w:r>
          </w:p>
        </w:tc>
      </w:tr>
    </w:tbl>
    <w:p w14:paraId="41A3542D" w14:textId="76AFAD9B" w:rsidR="00924441" w:rsidRPr="00654619" w:rsidRDefault="00924441" w:rsidP="002F1D72">
      <w:pPr>
        <w:rPr>
          <w:rFonts w:ascii="Times New Roman" w:hAnsi="Times New Roman" w:cs="Times New Roman"/>
        </w:rPr>
      </w:pPr>
    </w:p>
    <w:tbl>
      <w:tblPr>
        <w:tblW w:w="8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701"/>
      </w:tblGrid>
      <w:tr w:rsidR="00924441" w:rsidRPr="00654619" w14:paraId="2A7F4608" w14:textId="77777777" w:rsidTr="7AB7B39C">
        <w:trPr>
          <w:trHeight w:val="750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BFFAF16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48CD976" w14:textId="342EE15D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Fiatal oktató, kutató</w:t>
            </w:r>
            <w:r w:rsidR="0DDF95C1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I.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 </w:t>
            </w:r>
            <w:r w:rsidR="25392797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Doktorvárományos,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doktori képzésben abszolutóriumot szerzett és fokozatát még nem szerezte meg</w:t>
            </w:r>
            <w:r w:rsidR="3FFDE8E5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</w:tr>
      <w:tr w:rsidR="00924441" w:rsidRPr="00654619" w14:paraId="51DB7823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634A" w14:textId="48BF4A72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Bírálati szempontok </w:t>
            </w:r>
            <w:r w:rsidR="1418D895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0B8A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Pontszám</w:t>
            </w:r>
          </w:p>
        </w:tc>
      </w:tr>
      <w:tr w:rsidR="00924441" w:rsidRPr="00654619" w14:paraId="4F1E5E64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A9BC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Tudományos teljesítmény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7506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175 pont</w:t>
            </w:r>
          </w:p>
        </w:tc>
      </w:tr>
      <w:tr w:rsidR="00924441" w:rsidRPr="00654619" w14:paraId="52D0A212" w14:textId="77777777" w:rsidTr="7AB7B39C">
        <w:trPr>
          <w:trHeight w:val="759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FBDE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eredményesen teljesítette a műhelyvitát/amennyiben a doktori iskolában nem feltétele a disszertáció benyújtásának a műhelyvita, úgy a doktori iskola vezetőjének nyilatkozatát arról, hogy a doktori értékezés védésre való benyújtásra alkalmas.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4FCF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24441" w:rsidRPr="00654619" w14:paraId="7E60F12F" w14:textId="77777777" w:rsidTr="7AB7B39C">
        <w:trPr>
          <w:trHeight w:val="571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7FA1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tudományos/művészi teljesítménye a doktori fokozatszerzéshez a doktori iskola által elvárt szakmai/művészeti teljesítmény legalább 100%-a.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1D54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924441" w:rsidRPr="00654619" w14:paraId="7366EC25" w14:textId="77777777" w:rsidTr="7AB7B39C">
        <w:trPr>
          <w:trHeight w:val="409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97D3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tudományos/művészi teljesítménye a doktori fokozatszerzéshez szükséges tudományos teljesítmény 75-99%-a.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6E52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50-74</w:t>
            </w:r>
          </w:p>
        </w:tc>
      </w:tr>
      <w:tr w:rsidR="00924441" w:rsidRPr="00654619" w14:paraId="7CFA3888" w14:textId="77777777" w:rsidTr="7AB7B39C">
        <w:trPr>
          <w:trHeight w:val="501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35A9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tudományos/művészi teljesítménye a doktori fokozatszerzéshez szükséges tudományos teljesítmény 50-74%-a.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75BA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25-49</w:t>
            </w:r>
          </w:p>
        </w:tc>
      </w:tr>
      <w:tr w:rsidR="00924441" w:rsidRPr="00654619" w14:paraId="02CC7275" w14:textId="77777777" w:rsidTr="7AB7B39C">
        <w:trPr>
          <w:trHeight w:val="56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C30D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tudományos/művészi teljesítménye a doktori fokozatszerzéshez szükséges tudományos teljesítmény 25-49%-a.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9720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10-24</w:t>
            </w:r>
          </w:p>
        </w:tc>
      </w:tr>
      <w:tr w:rsidR="00924441" w:rsidRPr="00654619" w14:paraId="35DF3716" w14:textId="77777777" w:rsidTr="7AB7B39C">
        <w:trPr>
          <w:trHeight w:val="41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9F15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Megadott szabadalom/mintaoltalom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EBC2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125 pont</w:t>
            </w:r>
          </w:p>
        </w:tc>
      </w:tr>
      <w:tr w:rsidR="00924441" w:rsidRPr="00654619" w14:paraId="3BA76570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1704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szabadalommal rendelkezik, amelyben a saját része legalább 50%.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CDFD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924441" w:rsidRPr="00654619" w14:paraId="15925D3D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3D5A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 pályázó megadott szabadalommal rendelkezik, amelyben a saját része 25-49%.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59FF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924441" w:rsidRPr="00654619" w14:paraId="121410AF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9938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mintaoltalommal rendelkezik, amelyben a saját része legalább 50%.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CBB1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924441" w:rsidRPr="00654619" w14:paraId="4709802B" w14:textId="77777777" w:rsidTr="7AB7B39C">
        <w:trPr>
          <w:trHeight w:val="398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B2B6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mintaoltalommal rendelkezik, amelyben a saját része 25-49%.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BF3E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924441" w:rsidRPr="00654619" w14:paraId="5C2674F3" w14:textId="77777777" w:rsidTr="7AB7B39C">
        <w:trPr>
          <w:trHeight w:val="54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7BFE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Egyéb szakmai tevékenység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(pl. részvétel a tudományos közéletben, szerkesztői, szakértői, bírálói tevékenység, tudományos ismeretterjesztő tevékenység stb.)</w:t>
            </w:r>
          </w:p>
          <w:p w14:paraId="5286D8DF" w14:textId="4213C612" w:rsidR="004260CA" w:rsidRPr="00654619" w:rsidRDefault="004260CA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Iparjogvédelmi oltalom, ezen túl például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hackathon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vagy más innovációs versenyen való részvétel, egyetemi hasznosító vállalkozásban való részvétel, K+F+I projektben való részvétel,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Proof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of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Concept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versenyen való részvétel stb.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C864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10</w:t>
            </w:r>
          </w:p>
        </w:tc>
      </w:tr>
      <w:tr w:rsidR="00924441" w:rsidRPr="00654619" w14:paraId="2145C180" w14:textId="77777777" w:rsidTr="7AB7B39C">
        <w:trPr>
          <w:trHeight w:val="156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7933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Kutatási terv: 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7B16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40</w:t>
            </w:r>
          </w:p>
        </w:tc>
      </w:tr>
      <w:tr w:rsidR="00924441" w:rsidRPr="00654619" w14:paraId="1F76F773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226C" w14:textId="77777777" w:rsidR="00924441" w:rsidRPr="00654619" w:rsidRDefault="00924441" w:rsidP="00924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3152" w14:textId="77777777" w:rsidR="00924441" w:rsidRPr="00654619" w:rsidRDefault="00924441" w:rsidP="0092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350 pont</w:t>
            </w:r>
          </w:p>
        </w:tc>
      </w:tr>
    </w:tbl>
    <w:p w14:paraId="18C27282" w14:textId="77777777" w:rsidR="003642D4" w:rsidRPr="00654619" w:rsidRDefault="003642D4" w:rsidP="002F1D72">
      <w:pPr>
        <w:rPr>
          <w:rFonts w:ascii="Times New Roman" w:hAnsi="Times New Roman" w:cs="Times New Roman"/>
        </w:rPr>
      </w:pPr>
    </w:p>
    <w:tbl>
      <w:tblPr>
        <w:tblW w:w="8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701"/>
      </w:tblGrid>
      <w:tr w:rsidR="009A5BEC" w:rsidRPr="00654619" w14:paraId="510DC946" w14:textId="77777777" w:rsidTr="7AB7B39C">
        <w:trPr>
          <w:trHeight w:val="750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8DF3FAD" w14:textId="77777777" w:rsidR="00483FA8" w:rsidRPr="00654619" w:rsidRDefault="00483FA8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12CB4B" w14:textId="3F2A0622" w:rsidR="009A5BEC" w:rsidRPr="00654619" w:rsidRDefault="12EEA903" w:rsidP="7AB7B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Fiatal oktató, kutató</w:t>
            </w:r>
            <w:r w:rsidR="1354EE21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6A1BADB1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</w:t>
            </w:r>
            <w:r w:rsidR="1354EE21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I.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 </w:t>
            </w:r>
            <w:r w:rsidR="130DC8AF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Posztdoktor, </w:t>
            </w: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doktori képzésben fokozatát 5 éven belül szerezte</w:t>
            </w:r>
            <w:r w:rsidR="12DDA5C3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</w:tr>
      <w:tr w:rsidR="009A5BEC" w:rsidRPr="00654619" w14:paraId="02DC075C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51C8" w14:textId="6962BF9A" w:rsidR="009A5BEC" w:rsidRPr="00654619" w:rsidRDefault="12EEA903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Bírálati szempontok </w:t>
            </w:r>
            <w:r w:rsidR="17C3FF97" w:rsidRPr="00654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26D8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Pontszám</w:t>
            </w:r>
          </w:p>
        </w:tc>
      </w:tr>
      <w:tr w:rsidR="009A5BEC" w:rsidRPr="00654619" w14:paraId="5EB08CFC" w14:textId="77777777" w:rsidTr="7AB7B39C">
        <w:trPr>
          <w:trHeight w:val="28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148F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Tudományos teljesítmény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9E5F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100 pont</w:t>
            </w:r>
          </w:p>
        </w:tc>
      </w:tr>
      <w:tr w:rsidR="009A5BEC" w:rsidRPr="00654619" w14:paraId="23218660" w14:textId="77777777" w:rsidTr="7AB7B39C">
        <w:trPr>
          <w:trHeight w:val="419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7DA8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Az adott tudományágban a fogadó felsőoktatási intézménynek a habilitációra vonatkozó tudományos elvárásait a Pályázó legalább 100%-ban teljesítette.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7544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A5BEC" w:rsidRPr="00654619" w14:paraId="5ED8EF53" w14:textId="77777777" w:rsidTr="7AB7B39C">
        <w:trPr>
          <w:trHeight w:val="511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CE17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Az adott tudományágban a fogadó felsőoktatási intézménynek a habilitációra vonatkozó tudományos elvárásait a Pályázó 75-99%ban teljesítette.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318E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75-99</w:t>
            </w:r>
          </w:p>
        </w:tc>
      </w:tr>
      <w:tr w:rsidR="009A5BEC" w:rsidRPr="00654619" w14:paraId="7219CE29" w14:textId="77777777" w:rsidTr="7AB7B39C">
        <w:trPr>
          <w:trHeight w:val="419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1BB8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Az adott tudományágban a fogadó felsőoktatási intézménynek a habilitációra vonatkozó tudományos elvárásait a Pályázó 50-74%ban teljesítette.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3025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50-74</w:t>
            </w:r>
          </w:p>
        </w:tc>
      </w:tr>
      <w:tr w:rsidR="009A5BEC" w:rsidRPr="00654619" w14:paraId="3057C29E" w14:textId="77777777" w:rsidTr="7AB7B39C">
        <w:trPr>
          <w:trHeight w:val="6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E91D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Az adott tudományágban a fogadó felsőoktatási intézménynek a habilitációra vonatkozó tudományos elvárásait a Pályázó 25-49%ban teljesítette.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DEDF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25-49</w:t>
            </w:r>
          </w:p>
        </w:tc>
      </w:tr>
      <w:tr w:rsidR="009A5BEC" w:rsidRPr="00654619" w14:paraId="55F8E4F9" w14:textId="77777777" w:rsidTr="7AB7B39C">
        <w:trPr>
          <w:trHeight w:val="97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E451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Megadott szabadalom/mintaoltalom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br/>
              <w:t>(amennyiben a pályázó több szabadalommal/mintaoltalommal rendelkezik, úgy azokból egy-egy vehető figyelembe, azaz ezen szempontokra egyszer adható maximum 75/50 pont (összesen legfeljebb 125 pont))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C4C0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125 pont</w:t>
            </w:r>
          </w:p>
        </w:tc>
      </w:tr>
      <w:tr w:rsidR="009A5BEC" w:rsidRPr="00654619" w14:paraId="5FF50497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FB86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szabadalommal rendelkezik, amelyben a saját része legalább 50%.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2011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9A5BEC" w:rsidRPr="00654619" w14:paraId="094B85D4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FB95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szabadalommal rendelkezik, amelyben a saját része 25-49%.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5E17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9A5BEC" w:rsidRPr="00654619" w14:paraId="3B740598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D807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mintaoltalommal rendelkezik, amelyben a saját része legalább 50%.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5F5B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9A5BEC" w:rsidRPr="00654619" w14:paraId="4C96BA94" w14:textId="77777777" w:rsidTr="7AB7B39C">
        <w:trPr>
          <w:trHeight w:val="31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6265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pályázó megadott mintaoltalommal rendelkezik, amelyben a saját része 25-49%.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B626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9A5BEC" w:rsidRPr="00654619" w14:paraId="020541A7" w14:textId="77777777" w:rsidTr="7AB7B39C">
        <w:trPr>
          <w:trHeight w:val="6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3BE9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Egyéb szakmai tevékenység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 xml:space="preserve"> (pl. részvétel a tudományos közéletben, szerkesztői, szakértői, bírálói tevékenység, tudományos ismeretterjesztő tevékenység stb.)</w:t>
            </w:r>
          </w:p>
          <w:p w14:paraId="4D809363" w14:textId="283744B8" w:rsidR="004260CA" w:rsidRPr="00654619" w:rsidRDefault="004260CA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Iparjogvédelmi oltalom, ezen túl például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hackathon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vagy más innovációs versenyen való részvétel, egyetemi hasznosító vállalkozásban való részvétel, K+F+I projektben való részvétel,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Proof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of </w:t>
            </w:r>
            <w:proofErr w:type="spellStart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Concept</w:t>
            </w:r>
            <w:proofErr w:type="spellEnd"/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versenyen való részvétel stb.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0BB7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10</w:t>
            </w:r>
          </w:p>
        </w:tc>
      </w:tr>
      <w:tr w:rsidR="009A5BEC" w:rsidRPr="00654619" w14:paraId="576A6345" w14:textId="77777777" w:rsidTr="7AB7B39C">
        <w:trPr>
          <w:trHeight w:val="156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52CD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Kutatási terv: </w:t>
            </w:r>
            <w:r w:rsidRPr="00654619">
              <w:rPr>
                <w:rFonts w:ascii="Times New Roman" w:eastAsia="Times New Roman" w:hAnsi="Times New Roman" w:cs="Times New Roman"/>
                <w:color w:val="000000"/>
              </w:rPr>
              <w:t>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3F9F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40</w:t>
            </w:r>
          </w:p>
        </w:tc>
      </w:tr>
      <w:tr w:rsidR="009A5BEC" w:rsidRPr="00654619" w14:paraId="67CED3EF" w14:textId="77777777" w:rsidTr="7AB7B39C">
        <w:trPr>
          <w:trHeight w:val="61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23DC" w14:textId="77777777" w:rsidR="009A5BEC" w:rsidRPr="00654619" w:rsidRDefault="009A5BEC" w:rsidP="009A5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87EF" w14:textId="77777777" w:rsidR="009A5BEC" w:rsidRPr="00654619" w:rsidRDefault="009A5BEC" w:rsidP="009A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6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legfeljebb 275 pont</w:t>
            </w:r>
          </w:p>
        </w:tc>
      </w:tr>
    </w:tbl>
    <w:p w14:paraId="1F6789AC" w14:textId="77777777" w:rsidR="00924441" w:rsidRPr="00654619" w:rsidRDefault="00924441" w:rsidP="002F1D72">
      <w:pPr>
        <w:rPr>
          <w:rFonts w:ascii="Times New Roman" w:hAnsi="Times New Roman" w:cs="Times New Roman"/>
        </w:rPr>
      </w:pPr>
    </w:p>
    <w:sectPr w:rsidR="00924441" w:rsidRPr="00654619" w:rsidSect="0071561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F9B34" w14:textId="77777777" w:rsidR="0088781D" w:rsidRDefault="0088781D" w:rsidP="00B94AE3">
      <w:pPr>
        <w:spacing w:after="0" w:line="240" w:lineRule="auto"/>
      </w:pPr>
      <w:r>
        <w:separator/>
      </w:r>
    </w:p>
  </w:endnote>
  <w:endnote w:type="continuationSeparator" w:id="0">
    <w:p w14:paraId="56FE41E5" w14:textId="77777777" w:rsidR="0088781D" w:rsidRDefault="0088781D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B03E90" w14:paraId="44B6613D" w14:textId="77777777" w:rsidTr="0BB03E90">
      <w:trPr>
        <w:trHeight w:val="300"/>
      </w:trPr>
      <w:tc>
        <w:tcPr>
          <w:tcW w:w="3020" w:type="dxa"/>
        </w:tcPr>
        <w:p w14:paraId="3F57BD9A" w14:textId="6E70C52B" w:rsidR="0BB03E90" w:rsidRDefault="0BB03E90" w:rsidP="0BB03E90">
          <w:pPr>
            <w:pStyle w:val="lfej"/>
            <w:ind w:left="-115"/>
          </w:pPr>
        </w:p>
      </w:tc>
      <w:tc>
        <w:tcPr>
          <w:tcW w:w="3020" w:type="dxa"/>
        </w:tcPr>
        <w:p w14:paraId="33710E0A" w14:textId="64FE921F" w:rsidR="0BB03E90" w:rsidRDefault="0BB03E90" w:rsidP="0BB03E90">
          <w:pPr>
            <w:pStyle w:val="lfej"/>
            <w:jc w:val="center"/>
          </w:pPr>
        </w:p>
      </w:tc>
      <w:tc>
        <w:tcPr>
          <w:tcW w:w="3020" w:type="dxa"/>
        </w:tcPr>
        <w:p w14:paraId="7561AB54" w14:textId="5EEEE820" w:rsidR="0BB03E90" w:rsidRDefault="0BB03E90" w:rsidP="0BB03E90">
          <w:pPr>
            <w:pStyle w:val="lfej"/>
            <w:ind w:right="-115"/>
            <w:jc w:val="right"/>
          </w:pPr>
        </w:p>
      </w:tc>
    </w:tr>
  </w:tbl>
  <w:p w14:paraId="033FBAA4" w14:textId="61B388DD" w:rsidR="0BB03E90" w:rsidRDefault="0BB03E90" w:rsidP="0BB03E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194285"/>
      <w:docPartObj>
        <w:docPartGallery w:val="Page Numbers (Bottom of Page)"/>
        <w:docPartUnique/>
      </w:docPartObj>
    </w:sdtPr>
    <w:sdtContent>
      <w:p w14:paraId="5F2A08FE" w14:textId="77777777" w:rsidR="005140DD" w:rsidRDefault="005140DD">
        <w:pPr>
          <w:pStyle w:val="llb"/>
          <w:jc w:val="right"/>
        </w:pPr>
      </w:p>
      <w:p w14:paraId="615E47DA" w14:textId="36D331CB" w:rsidR="005140DD" w:rsidRDefault="005140DD" w:rsidP="005140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F98BC" w14:textId="77777777" w:rsidR="0088781D" w:rsidRDefault="0088781D" w:rsidP="00B94AE3">
      <w:pPr>
        <w:spacing w:after="0" w:line="240" w:lineRule="auto"/>
      </w:pPr>
      <w:r>
        <w:separator/>
      </w:r>
    </w:p>
  </w:footnote>
  <w:footnote w:type="continuationSeparator" w:id="0">
    <w:p w14:paraId="351288D3" w14:textId="77777777" w:rsidR="0088781D" w:rsidRDefault="0088781D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B03E90" w14:paraId="288210C9" w14:textId="77777777" w:rsidTr="0BB03E90">
      <w:trPr>
        <w:trHeight w:val="300"/>
      </w:trPr>
      <w:tc>
        <w:tcPr>
          <w:tcW w:w="3020" w:type="dxa"/>
        </w:tcPr>
        <w:p w14:paraId="737F6D5A" w14:textId="7B1E5241" w:rsidR="0BB03E90" w:rsidRDefault="0BB03E90" w:rsidP="0BB03E90">
          <w:pPr>
            <w:pStyle w:val="lfej"/>
            <w:ind w:left="-115"/>
          </w:pPr>
        </w:p>
      </w:tc>
      <w:tc>
        <w:tcPr>
          <w:tcW w:w="3020" w:type="dxa"/>
        </w:tcPr>
        <w:p w14:paraId="695DE97A" w14:textId="6D0A2D57" w:rsidR="0BB03E90" w:rsidRDefault="0BB03E90" w:rsidP="0BB03E90">
          <w:pPr>
            <w:pStyle w:val="lfej"/>
            <w:jc w:val="center"/>
          </w:pPr>
        </w:p>
      </w:tc>
      <w:tc>
        <w:tcPr>
          <w:tcW w:w="3020" w:type="dxa"/>
        </w:tcPr>
        <w:p w14:paraId="018F2363" w14:textId="2535F2F3" w:rsidR="0BB03E90" w:rsidRDefault="0BB03E90" w:rsidP="0BB03E90">
          <w:pPr>
            <w:pStyle w:val="lfej"/>
            <w:ind w:right="-115"/>
            <w:jc w:val="right"/>
          </w:pPr>
        </w:p>
      </w:tc>
    </w:tr>
  </w:tbl>
  <w:p w14:paraId="49AFE0EF" w14:textId="6DCCCC7E" w:rsidR="0BB03E90" w:rsidRDefault="0BB03E90" w:rsidP="0BB03E9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230B" w14:textId="23A10E89" w:rsidR="00482DC3" w:rsidRDefault="00482DC3" w:rsidP="00067FBE">
    <w:pPr>
      <w:pStyle w:val="lfej"/>
      <w:jc w:val="right"/>
    </w:pPr>
    <w:r w:rsidRPr="004666E0">
      <w:rPr>
        <w:rFonts w:cstheme="minorHAnsi"/>
        <w:b/>
        <w:i/>
        <w:noProof/>
        <w:color w:val="0070C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31ADCC" wp14:editId="1FEC2F8C">
              <wp:simplePos x="0" y="0"/>
              <wp:positionH relativeFrom="page">
                <wp:posOffset>5411470</wp:posOffset>
              </wp:positionH>
              <wp:positionV relativeFrom="paragraph">
                <wp:posOffset>5701</wp:posOffset>
              </wp:positionV>
              <wp:extent cx="2069864" cy="1307805"/>
              <wp:effectExtent l="0" t="0" r="6985" b="6985"/>
              <wp:wrapSquare wrapText="bothSides"/>
              <wp:docPr id="45503699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864" cy="130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1DF27" w14:textId="77777777" w:rsidR="00482DC3" w:rsidRDefault="00482DC3" w:rsidP="00482DC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5F601A" wp14:editId="7DF6B3BC">
                                <wp:extent cx="893135" cy="1069063"/>
                                <wp:effectExtent l="0" t="0" r="2540" b="0"/>
                                <wp:docPr id="1761639799" name="Kép 1" descr="A képen szöveg, embléma, Betűtípus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6547006" name="Kép 1" descr="A képen szöveg, embléma, Betűtípus, Grafika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667" cy="10780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1ADC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426.1pt;margin-top:.45pt;width:163pt;height:10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VRDwIAAPc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" stroked="f">
              <v:textbox>
                <w:txbxContent>
                  <w:p w14:paraId="7B81DF27" w14:textId="77777777" w:rsidR="00482DC3" w:rsidRDefault="00482DC3" w:rsidP="00482DC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5F601A" wp14:editId="7DF6B3BC">
                          <wp:extent cx="893135" cy="1069063"/>
                          <wp:effectExtent l="0" t="0" r="2540" b="0"/>
                          <wp:docPr id="1761639799" name="Kép 1" descr="A képen szöveg, embléma, Betűtípus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6547006" name="Kép 1" descr="A képen szöveg, embléma, Betűtípus, Grafika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0667" cy="1078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4666E0">
      <w:rPr>
        <w:rFonts w:ascii="Times New Roman" w:eastAsia="Times New Roman" w:hAnsi="Times New Roman" w:cs="Times New Roman"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9E6E6B" wp14:editId="212F8142">
              <wp:simplePos x="0" y="0"/>
              <wp:positionH relativeFrom="page">
                <wp:posOffset>53163</wp:posOffset>
              </wp:positionH>
              <wp:positionV relativeFrom="paragraph">
                <wp:posOffset>35560</wp:posOffset>
              </wp:positionV>
              <wp:extent cx="1839433" cy="1281356"/>
              <wp:effectExtent l="0" t="0" r="889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433" cy="12813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F39BF" w14:textId="77777777" w:rsidR="00482DC3" w:rsidRDefault="00482DC3" w:rsidP="00482DC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CEC276" wp14:editId="3806E4BC">
                                <wp:extent cx="1127051" cy="988011"/>
                                <wp:effectExtent l="0" t="0" r="0" b="3175"/>
                                <wp:docPr id="1789455314" name="Kép 3" descr="A képen szöveg, Betűtípus, embléma, szimbólum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8687849" name="Kép 3" descr="A képen szöveg, Betűtípus, embléma, szimbólum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2115" cy="992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9E6E6B" id="_x0000_s1027" type="#_x0000_t202" style="position:absolute;left:0;text-align:left;margin-left:4.2pt;margin-top:2.8pt;width:144.85pt;height:10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" stroked="f">
              <v:textbox>
                <w:txbxContent>
                  <w:p w14:paraId="1A9F39BF" w14:textId="77777777" w:rsidR="00482DC3" w:rsidRDefault="00482DC3" w:rsidP="00482DC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CEC276" wp14:editId="3806E4BC">
                          <wp:extent cx="1127051" cy="988011"/>
                          <wp:effectExtent l="0" t="0" r="0" b="3175"/>
                          <wp:docPr id="1789455314" name="Kép 3" descr="A képen szöveg, Betűtípus, embléma, szimbólum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8687849" name="Kép 3" descr="A képen szöveg, Betűtípus, embléma, szimbólum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2115" cy="992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594199D" w14:textId="7FDEBAD6" w:rsidR="00482DC3" w:rsidRDefault="00482DC3" w:rsidP="00067FBE">
    <w:pPr>
      <w:pStyle w:val="lfej"/>
      <w:jc w:val="right"/>
    </w:pPr>
  </w:p>
  <w:p w14:paraId="6DD1D37E" w14:textId="77777777" w:rsidR="00482DC3" w:rsidRDefault="00482DC3" w:rsidP="00067FBE">
    <w:pPr>
      <w:pStyle w:val="lfej"/>
      <w:jc w:val="right"/>
    </w:pPr>
  </w:p>
  <w:p w14:paraId="7C5A41E2" w14:textId="38FCAC50" w:rsidR="00482DC3" w:rsidRPr="00014957" w:rsidRDefault="00482DC3" w:rsidP="00482DC3">
    <w:pPr>
      <w:tabs>
        <w:tab w:val="left" w:pos="585"/>
        <w:tab w:val="right" w:pos="9072"/>
      </w:tabs>
      <w:spacing w:before="100" w:beforeAutospacing="1" w:after="100" w:afterAutospacing="1"/>
      <w:jc w:val="center"/>
      <w:rPr>
        <w:rFonts w:ascii="Times New Roman" w:eastAsia="Times New Roman" w:hAnsi="Times New Roman" w:cs="Times New Roman"/>
        <w:szCs w:val="24"/>
      </w:rPr>
    </w:pPr>
    <w:r>
      <w:t>Pályázati Felhívás az Egyetemi Kutatói Ösztöndíj Program keretből finanszírozott Egyetemi Kutatói Ösztöndíj Programhoz</w:t>
    </w:r>
    <w:r w:rsidR="00B50FB4">
      <w:t xml:space="preserve"> - 2.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8267">
    <w:abstractNumId w:val="2"/>
  </w:num>
  <w:num w:numId="2" w16cid:durableId="573970785">
    <w:abstractNumId w:val="0"/>
  </w:num>
  <w:num w:numId="3" w16cid:durableId="1609310554">
    <w:abstractNumId w:val="3"/>
  </w:num>
  <w:num w:numId="4" w16cid:durableId="52311785">
    <w:abstractNumId w:val="1"/>
  </w:num>
  <w:num w:numId="5" w16cid:durableId="64035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04C0"/>
    <w:rsid w:val="00044B84"/>
    <w:rsid w:val="000524C6"/>
    <w:rsid w:val="00065FCD"/>
    <w:rsid w:val="00067FBE"/>
    <w:rsid w:val="00075AEF"/>
    <w:rsid w:val="000912C1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94410"/>
    <w:rsid w:val="001C42BA"/>
    <w:rsid w:val="001E0EE8"/>
    <w:rsid w:val="002055AA"/>
    <w:rsid w:val="0021162E"/>
    <w:rsid w:val="00240FCB"/>
    <w:rsid w:val="00247788"/>
    <w:rsid w:val="00253DBA"/>
    <w:rsid w:val="00262D61"/>
    <w:rsid w:val="00273CE9"/>
    <w:rsid w:val="002A65FF"/>
    <w:rsid w:val="002F1D72"/>
    <w:rsid w:val="0031405D"/>
    <w:rsid w:val="00330C59"/>
    <w:rsid w:val="003366A7"/>
    <w:rsid w:val="00356828"/>
    <w:rsid w:val="003642D4"/>
    <w:rsid w:val="00390912"/>
    <w:rsid w:val="003A1819"/>
    <w:rsid w:val="003A194D"/>
    <w:rsid w:val="003C4CE4"/>
    <w:rsid w:val="003D11DF"/>
    <w:rsid w:val="003D4828"/>
    <w:rsid w:val="003E3290"/>
    <w:rsid w:val="00402F11"/>
    <w:rsid w:val="0041048B"/>
    <w:rsid w:val="0042394D"/>
    <w:rsid w:val="004260CA"/>
    <w:rsid w:val="004268CF"/>
    <w:rsid w:val="00461E2F"/>
    <w:rsid w:val="00482DC3"/>
    <w:rsid w:val="00483FA8"/>
    <w:rsid w:val="004E47DE"/>
    <w:rsid w:val="004F174D"/>
    <w:rsid w:val="005140DD"/>
    <w:rsid w:val="00515668"/>
    <w:rsid w:val="005244BA"/>
    <w:rsid w:val="00571665"/>
    <w:rsid w:val="005A6A2C"/>
    <w:rsid w:val="005B30C4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54619"/>
    <w:rsid w:val="00683443"/>
    <w:rsid w:val="006C543E"/>
    <w:rsid w:val="006C7175"/>
    <w:rsid w:val="006E5029"/>
    <w:rsid w:val="006F1726"/>
    <w:rsid w:val="00703826"/>
    <w:rsid w:val="00703E90"/>
    <w:rsid w:val="00713664"/>
    <w:rsid w:val="00715611"/>
    <w:rsid w:val="007325D9"/>
    <w:rsid w:val="0075204B"/>
    <w:rsid w:val="00773205"/>
    <w:rsid w:val="007936DB"/>
    <w:rsid w:val="007A6332"/>
    <w:rsid w:val="007E2D36"/>
    <w:rsid w:val="007E32FC"/>
    <w:rsid w:val="007F1256"/>
    <w:rsid w:val="0081468E"/>
    <w:rsid w:val="00820BA8"/>
    <w:rsid w:val="00831A6D"/>
    <w:rsid w:val="00835CC8"/>
    <w:rsid w:val="00843D59"/>
    <w:rsid w:val="008576AF"/>
    <w:rsid w:val="008757A8"/>
    <w:rsid w:val="00881B7C"/>
    <w:rsid w:val="0088781D"/>
    <w:rsid w:val="008A4D0D"/>
    <w:rsid w:val="008F181B"/>
    <w:rsid w:val="00906DFF"/>
    <w:rsid w:val="00911719"/>
    <w:rsid w:val="00924441"/>
    <w:rsid w:val="00937859"/>
    <w:rsid w:val="00957F40"/>
    <w:rsid w:val="0096103C"/>
    <w:rsid w:val="0096689B"/>
    <w:rsid w:val="00967D2F"/>
    <w:rsid w:val="00980281"/>
    <w:rsid w:val="00992C5F"/>
    <w:rsid w:val="009931A0"/>
    <w:rsid w:val="009A5BEC"/>
    <w:rsid w:val="009C6181"/>
    <w:rsid w:val="009E6A0C"/>
    <w:rsid w:val="009E7A31"/>
    <w:rsid w:val="009F7948"/>
    <w:rsid w:val="00A22F34"/>
    <w:rsid w:val="00A43A2E"/>
    <w:rsid w:val="00A52ED9"/>
    <w:rsid w:val="00A548B9"/>
    <w:rsid w:val="00A76C30"/>
    <w:rsid w:val="00A92D6B"/>
    <w:rsid w:val="00A97CC3"/>
    <w:rsid w:val="00AA6BC8"/>
    <w:rsid w:val="00AB2644"/>
    <w:rsid w:val="00AC1567"/>
    <w:rsid w:val="00AF39DF"/>
    <w:rsid w:val="00B072ED"/>
    <w:rsid w:val="00B221D0"/>
    <w:rsid w:val="00B50FB4"/>
    <w:rsid w:val="00B51CC1"/>
    <w:rsid w:val="00B55054"/>
    <w:rsid w:val="00B626DB"/>
    <w:rsid w:val="00B7605D"/>
    <w:rsid w:val="00B77DBE"/>
    <w:rsid w:val="00B8493B"/>
    <w:rsid w:val="00B94AE3"/>
    <w:rsid w:val="00BC2257"/>
    <w:rsid w:val="00BC2CEA"/>
    <w:rsid w:val="00BD5843"/>
    <w:rsid w:val="00BE1665"/>
    <w:rsid w:val="00BE1AEE"/>
    <w:rsid w:val="00BE40E1"/>
    <w:rsid w:val="00BE7241"/>
    <w:rsid w:val="00C029C7"/>
    <w:rsid w:val="00C511F3"/>
    <w:rsid w:val="00C52FA8"/>
    <w:rsid w:val="00C551A6"/>
    <w:rsid w:val="00C64451"/>
    <w:rsid w:val="00C7201F"/>
    <w:rsid w:val="00C84AEF"/>
    <w:rsid w:val="00CD4772"/>
    <w:rsid w:val="00CD53E5"/>
    <w:rsid w:val="00CD5D4D"/>
    <w:rsid w:val="00D00195"/>
    <w:rsid w:val="00D06D50"/>
    <w:rsid w:val="00D2692E"/>
    <w:rsid w:val="00D657FB"/>
    <w:rsid w:val="00D67E36"/>
    <w:rsid w:val="00D71CFC"/>
    <w:rsid w:val="00D91BD3"/>
    <w:rsid w:val="00DA4CCA"/>
    <w:rsid w:val="00DD5C75"/>
    <w:rsid w:val="00DD5F58"/>
    <w:rsid w:val="00E07D99"/>
    <w:rsid w:val="00E07E24"/>
    <w:rsid w:val="00E27D9E"/>
    <w:rsid w:val="00E6422E"/>
    <w:rsid w:val="00E647BA"/>
    <w:rsid w:val="00E7606A"/>
    <w:rsid w:val="00E7606C"/>
    <w:rsid w:val="00E76912"/>
    <w:rsid w:val="00E910F1"/>
    <w:rsid w:val="00EA7E89"/>
    <w:rsid w:val="00EC4F5C"/>
    <w:rsid w:val="00F007B7"/>
    <w:rsid w:val="00F06AB0"/>
    <w:rsid w:val="00F140E9"/>
    <w:rsid w:val="00F317DE"/>
    <w:rsid w:val="00F44A8B"/>
    <w:rsid w:val="00F63A87"/>
    <w:rsid w:val="00F809C9"/>
    <w:rsid w:val="00F91AE4"/>
    <w:rsid w:val="00FB2E87"/>
    <w:rsid w:val="05E1DF33"/>
    <w:rsid w:val="0BB03E90"/>
    <w:rsid w:val="0DDF95C1"/>
    <w:rsid w:val="11147135"/>
    <w:rsid w:val="12D55FA1"/>
    <w:rsid w:val="12DDA5C3"/>
    <w:rsid w:val="12EEA903"/>
    <w:rsid w:val="130DC8AF"/>
    <w:rsid w:val="1354EE21"/>
    <w:rsid w:val="1418D895"/>
    <w:rsid w:val="15476704"/>
    <w:rsid w:val="158B97EA"/>
    <w:rsid w:val="17C3FF97"/>
    <w:rsid w:val="18BAD5F5"/>
    <w:rsid w:val="25392797"/>
    <w:rsid w:val="29959383"/>
    <w:rsid w:val="2AD05D13"/>
    <w:rsid w:val="2AF31784"/>
    <w:rsid w:val="2BA93842"/>
    <w:rsid w:val="30F0C068"/>
    <w:rsid w:val="337A165A"/>
    <w:rsid w:val="34020D8F"/>
    <w:rsid w:val="34D45B36"/>
    <w:rsid w:val="3FFDE8E5"/>
    <w:rsid w:val="45648A18"/>
    <w:rsid w:val="49CBEF72"/>
    <w:rsid w:val="4BBE16E0"/>
    <w:rsid w:val="4D59E741"/>
    <w:rsid w:val="514F5BEE"/>
    <w:rsid w:val="54B7BEA3"/>
    <w:rsid w:val="5900D67E"/>
    <w:rsid w:val="5E424A40"/>
    <w:rsid w:val="6853234A"/>
    <w:rsid w:val="6A1BADB1"/>
    <w:rsid w:val="6A43815B"/>
    <w:rsid w:val="74A1E47F"/>
    <w:rsid w:val="7796FE03"/>
    <w:rsid w:val="7AB7B39C"/>
    <w:rsid w:val="7E92D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"/>
    <w:rsid w:val="00AC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Bekezdsalapbettpusa"/>
    <w:rsid w:val="00AC1567"/>
  </w:style>
  <w:style w:type="character" w:customStyle="1" w:styleId="eop">
    <w:name w:val="eop"/>
    <w:basedOn w:val="Bekezdsalapbettpusa"/>
    <w:rsid w:val="00AC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4560</Words>
  <Characters>31467</Characters>
  <Application>Microsoft Office Word</Application>
  <DocSecurity>0</DocSecurity>
  <Lines>262</Lines>
  <Paragraphs>71</Paragraphs>
  <ScaleCrop>false</ScaleCrop>
  <Company>KD</Company>
  <LinksUpToDate>false</LinksUpToDate>
  <CharactersWithSpaces>35956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Szarvas Beáta</cp:lastModifiedBy>
  <cp:revision>9</cp:revision>
  <cp:lastPrinted>2019-02-27T09:33:00Z</cp:lastPrinted>
  <dcterms:created xsi:type="dcterms:W3CDTF">2024-05-27T11:25:00Z</dcterms:created>
  <dcterms:modified xsi:type="dcterms:W3CDTF">2024-05-28T08:15:00Z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