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BDD4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English Language Guide</w:t>
      </w:r>
    </w:p>
    <w:p w14:paraId="3BCE5185" w14:textId="77777777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Guide to the Community Scholarship for Doctoral Students of the University of Miskolc</w:t>
      </w:r>
    </w:p>
    <w:p w14:paraId="751A3D8B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1. Purpose of the Grant</w:t>
      </w:r>
    </w:p>
    <w:p w14:paraId="0AB802B9" w14:textId="6AEC0617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The purpose of the scholarship is to support the students of the University of Miskolc who perform outstanding activities in professional, scientific, or public life fields. A key goal is to support the members of the Doctoral Student Self-Government of the University of Miskolc (ME-DÖK), as well as students who actively promote the activities of ME-DÖK, and who contribute to the development of university public life and the doctoral community through their regular community work.</w:t>
      </w:r>
    </w:p>
    <w:p w14:paraId="504D252F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2. Eligible Applicants</w:t>
      </w:r>
    </w:p>
    <w:p w14:paraId="3A985BD5" w14:textId="77777777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Doctoral students of the University of Miskolc with an active student status are eligible to apply. Those who are members of ME-DÖK or who verifiably and actively promote the activities of ME-DÖK may apply.</w:t>
      </w:r>
    </w:p>
    <w:p w14:paraId="0207D978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3. Application Submission</w:t>
      </w:r>
    </w:p>
    <w:p w14:paraId="022E70F8" w14:textId="77777777" w:rsidR="00672E27" w:rsidRPr="00672E27" w:rsidRDefault="00672E27" w:rsidP="00672E2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Method of Submission:</w:t>
      </w:r>
      <w:r w:rsidRPr="00672E27">
        <w:rPr>
          <w:rFonts w:ascii="Times New Roman" w:hAnsi="Times New Roman" w:cs="Times New Roman"/>
          <w:sz w:val="24"/>
          <w:szCs w:val="24"/>
        </w:rPr>
        <w:t xml:space="preserve"> Applications, along with the necessary attachments, must be submitted electronically to the official email address of the Doctoral Student Self-Government of the University of Miskolc. Handwritten applications cannot be submitted.</w:t>
      </w:r>
    </w:p>
    <w:p w14:paraId="4AB07931" w14:textId="77777777" w:rsidR="00672E27" w:rsidRPr="00672E27" w:rsidRDefault="00672E27" w:rsidP="00672E2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Submission Deadline:</w:t>
      </w:r>
      <w:r w:rsidRPr="00672E27">
        <w:rPr>
          <w:rFonts w:ascii="Times New Roman" w:hAnsi="Times New Roman" w:cs="Times New Roman"/>
          <w:sz w:val="24"/>
          <w:szCs w:val="24"/>
        </w:rPr>
        <w:t xml:space="preserve"> The deadline for application submission is specified in the current call for applications. We are unable to accept applications received after the deadline.</w:t>
      </w:r>
    </w:p>
    <w:p w14:paraId="6F2625E2" w14:textId="77777777" w:rsidR="00672E27" w:rsidRPr="00672E27" w:rsidRDefault="00672E27" w:rsidP="00672E2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Certificates:</w:t>
      </w:r>
      <w:r w:rsidRPr="00672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8468A" w14:textId="77777777" w:rsidR="00672E27" w:rsidRPr="00672E27" w:rsidRDefault="00672E27" w:rsidP="00672E27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A certificate issued by the President of ME-DÖK regarding the public life activities performed must be attached to the application.</w:t>
      </w:r>
    </w:p>
    <w:p w14:paraId="7806E449" w14:textId="77777777" w:rsidR="00672E27" w:rsidRPr="00672E27" w:rsidRDefault="00672E27" w:rsidP="00672E27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The original copies of the electronically submitted certificates must be kept, as ME-DÖK may request them for verification.</w:t>
      </w:r>
    </w:p>
    <w:p w14:paraId="3B70C1A7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4. Evaluation of Applications</w:t>
      </w:r>
    </w:p>
    <w:p w14:paraId="6FC1E454" w14:textId="77777777" w:rsidR="00672E27" w:rsidRPr="00672E27" w:rsidRDefault="00672E27" w:rsidP="00672E2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Evaluation:</w:t>
      </w:r>
      <w:r w:rsidRPr="00672E27">
        <w:rPr>
          <w:rFonts w:ascii="Times New Roman" w:hAnsi="Times New Roman" w:cs="Times New Roman"/>
          <w:sz w:val="24"/>
          <w:szCs w:val="24"/>
        </w:rPr>
        <w:t xml:space="preserve"> The members of the ME-DÖK presidency vote on the submitted applications based on a point-based system. The consent of the Director of Enrollment and Education Organization is also required for the decision. The ME-DÖK presidency informs the ME-DÖK delegate assembly about the decision made.</w:t>
      </w:r>
    </w:p>
    <w:p w14:paraId="7C616159" w14:textId="77777777" w:rsidR="00672E27" w:rsidRPr="00672E27" w:rsidRDefault="00672E27" w:rsidP="00672E2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Supplementation of Deficiencies:</w:t>
      </w:r>
      <w:r w:rsidRPr="00672E27">
        <w:rPr>
          <w:rFonts w:ascii="Times New Roman" w:hAnsi="Times New Roman" w:cs="Times New Roman"/>
          <w:sz w:val="24"/>
          <w:szCs w:val="24"/>
        </w:rPr>
        <w:t xml:space="preserve"> There is an opportunity to supplement deficiencies during the evaluation process. If a student has uploaded incomplete certificates, ME-DÖK will notify them electronically about the possibility and deadline for supplementation.</w:t>
      </w:r>
    </w:p>
    <w:p w14:paraId="3EE096D5" w14:textId="77777777" w:rsidR="00672E27" w:rsidRPr="00672E27" w:rsidRDefault="00672E27" w:rsidP="00672E2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Evaluation Criteria:</w:t>
      </w:r>
      <w:r w:rsidRPr="00672E27">
        <w:rPr>
          <w:rFonts w:ascii="Times New Roman" w:hAnsi="Times New Roman" w:cs="Times New Roman"/>
          <w:sz w:val="24"/>
          <w:szCs w:val="24"/>
        </w:rPr>
        <w:t xml:space="preserve"> The condition for awarding the scholarship is a formally correct application supported by the necessary certificates. During the evaluation, it must always be examined to what extent the acclaimed activities serve the well-being of the university's students, the advancement of their community life, and the enhancement of the university's reputation. Such activities may include, in particular: </w:t>
      </w:r>
    </w:p>
    <w:p w14:paraId="49073AD3" w14:textId="77777777" w:rsidR="00672E27" w:rsidRPr="00672E27" w:rsidRDefault="00672E27" w:rsidP="00672E27">
      <w:pPr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Serving as an office-bearer, representative, referent, or presidential appointee for ME-DÖK.</w:t>
      </w:r>
    </w:p>
    <w:p w14:paraId="35689B80" w14:textId="77777777" w:rsidR="00672E27" w:rsidRPr="00672E27" w:rsidRDefault="00672E27" w:rsidP="00672E27">
      <w:pPr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Outstanding university-public life or student representation activity.</w:t>
      </w:r>
    </w:p>
    <w:p w14:paraId="09225818" w14:textId="77777777" w:rsidR="00672E27" w:rsidRPr="00672E27" w:rsidRDefault="00672E27" w:rsidP="00672E27">
      <w:pPr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Outstanding professional and scientific activity.</w:t>
      </w:r>
    </w:p>
    <w:p w14:paraId="059A34FD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5. Reasons for Disqualification</w:t>
      </w:r>
    </w:p>
    <w:p w14:paraId="07EF7E18" w14:textId="77777777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The application must be excluded from the evaluation if the applicant:</w:t>
      </w:r>
    </w:p>
    <w:p w14:paraId="09C50A55" w14:textId="77777777" w:rsidR="00672E27" w:rsidRPr="00672E27" w:rsidRDefault="00672E27" w:rsidP="00672E2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Does not have an active student status during the application period.</w:t>
      </w:r>
    </w:p>
    <w:p w14:paraId="672A076A" w14:textId="77777777" w:rsidR="00672E27" w:rsidRPr="00672E27" w:rsidRDefault="00672E27" w:rsidP="00672E2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Provided false information in the application documentation. In such cases, disciplinary proceedings may also be initiated against the student.</w:t>
      </w:r>
    </w:p>
    <w:p w14:paraId="526B519C" w14:textId="77777777" w:rsidR="00672E27" w:rsidRPr="00672E27" w:rsidRDefault="00672E27" w:rsidP="00672E2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Submitted an incomplete application and fails to supplement the deficiencies by the given deadline.</w:t>
      </w:r>
    </w:p>
    <w:p w14:paraId="7A26C148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6. Results and Appeals</w:t>
      </w:r>
    </w:p>
    <w:p w14:paraId="3BD1F1C6" w14:textId="77777777" w:rsidR="00672E27" w:rsidRPr="00672E27" w:rsidRDefault="00672E27" w:rsidP="00672E27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Announcement of Results:</w:t>
      </w:r>
      <w:r w:rsidRPr="00672E27">
        <w:rPr>
          <w:rFonts w:ascii="Times New Roman" w:hAnsi="Times New Roman" w:cs="Times New Roman"/>
          <w:sz w:val="24"/>
          <w:szCs w:val="24"/>
        </w:rPr>
        <w:t xml:space="preserve"> ME-DÖK will inform applicants of the results electronically by the date specified in the current call for applications.</w:t>
      </w:r>
    </w:p>
    <w:p w14:paraId="00351446" w14:textId="77777777" w:rsidR="00672E27" w:rsidRPr="00672E27" w:rsidRDefault="00672E27" w:rsidP="00672E27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Appeal:</w:t>
      </w:r>
      <w:r w:rsidRPr="00672E27">
        <w:rPr>
          <w:rFonts w:ascii="Times New Roman" w:hAnsi="Times New Roman" w:cs="Times New Roman"/>
          <w:sz w:val="24"/>
          <w:szCs w:val="24"/>
        </w:rPr>
        <w:t xml:space="preserve"> It is possible to appeal the decision. The method and deadline for appeals will be included in the notification of the results.</w:t>
      </w:r>
    </w:p>
    <w:p w14:paraId="0F575EA8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7. Further Information</w:t>
      </w:r>
    </w:p>
    <w:p w14:paraId="25D7005E" w14:textId="2AC6AA7B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 xml:space="preserve">For questions and further information regarding the application, please contact the Doctoral Student </w:t>
      </w:r>
      <w:r w:rsidR="00FB352D">
        <w:rPr>
          <w:rFonts w:ascii="Times New Roman" w:hAnsi="Times New Roman" w:cs="Times New Roman"/>
          <w:sz w:val="24"/>
          <w:szCs w:val="24"/>
        </w:rPr>
        <w:t>Union</w:t>
      </w:r>
      <w:r w:rsidRPr="00672E27">
        <w:rPr>
          <w:rFonts w:ascii="Times New Roman" w:hAnsi="Times New Roman" w:cs="Times New Roman"/>
          <w:sz w:val="24"/>
          <w:szCs w:val="24"/>
        </w:rPr>
        <w:t xml:space="preserve"> of the University of Miskolc at their official email address.</w:t>
      </w:r>
    </w:p>
    <w:p w14:paraId="659D4A9A" w14:textId="77777777" w:rsidR="00684D63" w:rsidRPr="00672E27" w:rsidRDefault="00684D63" w:rsidP="00672E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D63" w:rsidRPr="00672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3673" w14:textId="77777777" w:rsidR="00BB615B" w:rsidRDefault="00BB615B" w:rsidP="00FB7632">
      <w:pPr>
        <w:spacing w:after="0" w:line="240" w:lineRule="auto"/>
      </w:pPr>
      <w:r>
        <w:separator/>
      </w:r>
    </w:p>
  </w:endnote>
  <w:endnote w:type="continuationSeparator" w:id="0">
    <w:p w14:paraId="25F909A3" w14:textId="77777777" w:rsidR="00BB615B" w:rsidRDefault="00BB615B" w:rsidP="00FB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6598" w14:textId="77777777" w:rsidR="00BB615B" w:rsidRDefault="00BB615B" w:rsidP="00FB7632">
      <w:pPr>
        <w:spacing w:after="0" w:line="240" w:lineRule="auto"/>
      </w:pPr>
      <w:r>
        <w:separator/>
      </w:r>
    </w:p>
  </w:footnote>
  <w:footnote w:type="continuationSeparator" w:id="0">
    <w:p w14:paraId="75376A1F" w14:textId="77777777" w:rsidR="00BB615B" w:rsidRDefault="00BB615B" w:rsidP="00FB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214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20"/>
      <w:gridCol w:w="236"/>
      <w:gridCol w:w="4552"/>
      <w:gridCol w:w="2532"/>
    </w:tblGrid>
    <w:tr w:rsidR="00FB7632" w14:paraId="08E4D31C" w14:textId="77777777" w:rsidTr="00C40C48">
      <w:trPr>
        <w:trHeight w:val="1980"/>
      </w:trPr>
      <w:tc>
        <w:tcPr>
          <w:tcW w:w="2338" w:type="dxa"/>
        </w:tcPr>
        <w:p w14:paraId="4286EC9F" w14:textId="77777777" w:rsidR="00FB7632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000000"/>
            </w:rPr>
          </w:pPr>
          <w:r>
            <w:rPr>
              <w:noProof/>
              <w:color w:val="000000"/>
            </w:rPr>
            <w:object w:dxaOrig="2265" w:dyaOrig="2010" w14:anchorId="524880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.6pt;height:99.6pt;mso-width-percent:0;mso-height-percent:0;mso-width-percent:0;mso-height-percent:0">
                <v:imagedata r:id="rId1" o:title="" croptop="-16765f" cropbottom="-8383f" cropleft="-6756f"/>
              </v:shape>
              <o:OLEObject Type="Embed" ProgID="PBrush" ShapeID="_x0000_i1025" DrawAspect="Content" ObjectID="_1811870934" r:id="rId2"/>
            </w:object>
          </w:r>
        </w:p>
      </w:tc>
      <w:tc>
        <w:tcPr>
          <w:tcW w:w="160" w:type="dxa"/>
        </w:tcPr>
        <w:p w14:paraId="4D307883" w14:textId="77777777" w:rsidR="00FB7632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jc w:val="center"/>
            <w:rPr>
              <w:color w:val="000000"/>
            </w:rPr>
          </w:pPr>
        </w:p>
      </w:tc>
      <w:tc>
        <w:tcPr>
          <w:tcW w:w="4590" w:type="dxa"/>
        </w:tcPr>
        <w:p w14:paraId="578C10E1" w14:textId="77777777" w:rsidR="00FB7632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  <w:r>
            <w:rPr>
              <w:b/>
              <w:smallCaps/>
              <w:noProof/>
              <w:color w:val="000000"/>
              <w:sz w:val="28"/>
              <w:szCs w:val="28"/>
              <w:lang w:eastAsia="hu-HU"/>
            </w:rPr>
            <w:drawing>
              <wp:inline distT="0" distB="0" distL="0" distR="0" wp14:anchorId="4D8396C3" wp14:editId="4C3B9C84">
                <wp:extent cx="1893150" cy="753745"/>
                <wp:effectExtent l="0" t="0" r="0" b="0"/>
                <wp:docPr id="4" name="image3.png" descr="A képen Betűtípus, szöveg, Grafika, képernyőkép látható&#10;&#10;Automatikusan generált leírá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A képen Betűtípus, szöveg, Grafika, képernyőkép látható&#10;&#10;Automatikusan generált leírás"/>
                        <pic:cNvPicPr preferRelativeResize="0"/>
                      </pic:nvPicPr>
                      <pic:blipFill>
                        <a:blip r:embed="rId3"/>
                        <a:srcRect l="330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150" cy="753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3707908" w14:textId="77777777" w:rsidR="00FB7632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</w:p>
        <w:p w14:paraId="7CDFF3F5" w14:textId="77777777" w:rsidR="00FB7632" w:rsidRPr="003B4770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  <w:t>DOKTORANDUSZ ÖNKORMÁNYZAT</w:t>
          </w:r>
        </w:p>
      </w:tc>
      <w:tc>
        <w:tcPr>
          <w:tcW w:w="2552" w:type="dxa"/>
        </w:tcPr>
        <w:p w14:paraId="369EE5DB" w14:textId="77777777" w:rsidR="00FB7632" w:rsidRDefault="00FB7632" w:rsidP="00FB7632">
          <w:pPr>
            <w:ind w:hanging="14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25F06074" wp14:editId="11B0F638">
                <wp:simplePos x="0" y="0"/>
                <wp:positionH relativeFrom="margin">
                  <wp:posOffset>3810</wp:posOffset>
                </wp:positionH>
                <wp:positionV relativeFrom="paragraph">
                  <wp:posOffset>328295</wp:posOffset>
                </wp:positionV>
                <wp:extent cx="1573530" cy="882650"/>
                <wp:effectExtent l="0" t="0" r="0" b="0"/>
                <wp:wrapNone/>
                <wp:docPr id="384432719" name="Kép 384432719" descr="A képen Betűtípus, embléma, Grafika,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Kép 44" descr="A képen Betűtípus, embléma, Grafika, tervezés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5" t="14606" r="5235" b="15187"/>
                        <a:stretch/>
                      </pic:blipFill>
                      <pic:spPr bwMode="auto">
                        <a:xfrm>
                          <a:off x="0" y="0"/>
                          <a:ext cx="15735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</w:tc>
    </w:tr>
  </w:tbl>
  <w:p w14:paraId="1B2B446D" w14:textId="77777777" w:rsidR="00FB7632" w:rsidRDefault="00FB76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773"/>
    <w:multiLevelType w:val="multilevel"/>
    <w:tmpl w:val="4660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3219A"/>
    <w:multiLevelType w:val="multilevel"/>
    <w:tmpl w:val="81D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85D86"/>
    <w:multiLevelType w:val="multilevel"/>
    <w:tmpl w:val="556C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87915"/>
    <w:multiLevelType w:val="multilevel"/>
    <w:tmpl w:val="CC46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F2D43"/>
    <w:multiLevelType w:val="multilevel"/>
    <w:tmpl w:val="460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A4CC9"/>
    <w:multiLevelType w:val="multilevel"/>
    <w:tmpl w:val="FA1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83BEF"/>
    <w:multiLevelType w:val="multilevel"/>
    <w:tmpl w:val="F4EC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447CD"/>
    <w:multiLevelType w:val="multilevel"/>
    <w:tmpl w:val="A4A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C37F9"/>
    <w:multiLevelType w:val="multilevel"/>
    <w:tmpl w:val="F66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20167"/>
    <w:multiLevelType w:val="multilevel"/>
    <w:tmpl w:val="12B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B0189"/>
    <w:multiLevelType w:val="multilevel"/>
    <w:tmpl w:val="17C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14484"/>
    <w:multiLevelType w:val="multilevel"/>
    <w:tmpl w:val="69C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3644C"/>
    <w:multiLevelType w:val="multilevel"/>
    <w:tmpl w:val="1C7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01933"/>
    <w:multiLevelType w:val="multilevel"/>
    <w:tmpl w:val="CB6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D2B08"/>
    <w:multiLevelType w:val="multilevel"/>
    <w:tmpl w:val="01B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C4783"/>
    <w:multiLevelType w:val="multilevel"/>
    <w:tmpl w:val="58C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146089">
    <w:abstractNumId w:val="6"/>
  </w:num>
  <w:num w:numId="2" w16cid:durableId="773402410">
    <w:abstractNumId w:val="4"/>
  </w:num>
  <w:num w:numId="3" w16cid:durableId="699210361">
    <w:abstractNumId w:val="1"/>
  </w:num>
  <w:num w:numId="4" w16cid:durableId="813302075">
    <w:abstractNumId w:val="10"/>
  </w:num>
  <w:num w:numId="5" w16cid:durableId="1942906934">
    <w:abstractNumId w:val="12"/>
  </w:num>
  <w:num w:numId="6" w16cid:durableId="1090393012">
    <w:abstractNumId w:val="3"/>
  </w:num>
  <w:num w:numId="7" w16cid:durableId="501119292">
    <w:abstractNumId w:val="0"/>
  </w:num>
  <w:num w:numId="8" w16cid:durableId="1994411264">
    <w:abstractNumId w:val="7"/>
  </w:num>
  <w:num w:numId="9" w16cid:durableId="384330591">
    <w:abstractNumId w:val="11"/>
  </w:num>
  <w:num w:numId="10" w16cid:durableId="1584487715">
    <w:abstractNumId w:val="9"/>
  </w:num>
  <w:num w:numId="11" w16cid:durableId="144395696">
    <w:abstractNumId w:val="13"/>
  </w:num>
  <w:num w:numId="12" w16cid:durableId="1669559649">
    <w:abstractNumId w:val="2"/>
  </w:num>
  <w:num w:numId="13" w16cid:durableId="514879827">
    <w:abstractNumId w:val="14"/>
  </w:num>
  <w:num w:numId="14" w16cid:durableId="1097211545">
    <w:abstractNumId w:val="8"/>
  </w:num>
  <w:num w:numId="15" w16cid:durableId="806700621">
    <w:abstractNumId w:val="15"/>
  </w:num>
  <w:num w:numId="16" w16cid:durableId="1039432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27"/>
    <w:rsid w:val="000B254F"/>
    <w:rsid w:val="00136FD9"/>
    <w:rsid w:val="00150452"/>
    <w:rsid w:val="002164C6"/>
    <w:rsid w:val="002B2B31"/>
    <w:rsid w:val="003C54C1"/>
    <w:rsid w:val="006374C5"/>
    <w:rsid w:val="00672E27"/>
    <w:rsid w:val="00684D63"/>
    <w:rsid w:val="007A6D93"/>
    <w:rsid w:val="00BB615B"/>
    <w:rsid w:val="00CE517E"/>
    <w:rsid w:val="00E32E34"/>
    <w:rsid w:val="00FB352D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AA36F"/>
  <w15:chartTrackingRefBased/>
  <w15:docId w15:val="{96B23AC6-E69B-4A9C-9FB9-1C0EB836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2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2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2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2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2E2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2E2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2E2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2E2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2E2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2E2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2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2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2E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2E2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72E2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2E2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2E2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B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7632"/>
  </w:style>
  <w:style w:type="paragraph" w:styleId="llb">
    <w:name w:val="footer"/>
    <w:basedOn w:val="Norml"/>
    <w:link w:val="llbChar"/>
    <w:uiPriority w:val="99"/>
    <w:unhideWhenUsed/>
    <w:rsid w:val="00FB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Pente Zsombor</dc:creator>
  <cp:keywords/>
  <dc:description/>
  <cp:lastModifiedBy>Pente Zsombor</cp:lastModifiedBy>
  <cp:revision>5</cp:revision>
  <dcterms:created xsi:type="dcterms:W3CDTF">2025-06-07T13:17:00Z</dcterms:created>
  <dcterms:modified xsi:type="dcterms:W3CDTF">2025-06-19T18:42:00Z</dcterms:modified>
</cp:coreProperties>
</file>