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FA497" w14:textId="77777777" w:rsidR="005A1090" w:rsidRPr="005974F0" w:rsidRDefault="005A1090" w:rsidP="00F95D69">
      <w:pPr>
        <w:spacing w:after="0" w:line="240" w:lineRule="auto"/>
        <w:jc w:val="center"/>
        <w:rPr>
          <w:rFonts w:ascii="Times New Roman" w:hAnsi="Times New Roman" w:cs="Times New Roman"/>
          <w:b/>
          <w:bCs/>
          <w:lang w:val="en-GB"/>
        </w:rPr>
      </w:pPr>
      <w:r w:rsidRPr="005974F0">
        <w:rPr>
          <w:rFonts w:ascii="Times New Roman" w:hAnsi="Times New Roman" w:cs="Times New Roman"/>
          <w:b/>
          <w:bCs/>
          <w:lang w:val="en-GB"/>
        </w:rPr>
        <w:t>University of Miskolc</w:t>
      </w:r>
    </w:p>
    <w:p w14:paraId="7F59E8A1" w14:textId="77777777" w:rsidR="005A1090" w:rsidRPr="005974F0" w:rsidRDefault="005A1090" w:rsidP="00F95D69">
      <w:pPr>
        <w:spacing w:after="0" w:line="240" w:lineRule="auto"/>
        <w:jc w:val="center"/>
        <w:rPr>
          <w:rFonts w:ascii="Times New Roman" w:hAnsi="Times New Roman" w:cs="Times New Roman"/>
          <w:b/>
          <w:bCs/>
          <w:lang w:val="en-GB"/>
        </w:rPr>
      </w:pPr>
      <w:r w:rsidRPr="005974F0">
        <w:rPr>
          <w:rFonts w:ascii="Times New Roman" w:hAnsi="Times New Roman" w:cs="Times New Roman"/>
          <w:b/>
          <w:bCs/>
          <w:lang w:val="en-GB"/>
        </w:rPr>
        <w:t>Quality Assurance Centre</w:t>
      </w:r>
    </w:p>
    <w:p w14:paraId="373E5609" w14:textId="77777777" w:rsidR="005A1090" w:rsidRPr="005974F0" w:rsidRDefault="005A1090" w:rsidP="00F95D69">
      <w:pPr>
        <w:spacing w:after="0" w:line="240" w:lineRule="auto"/>
        <w:jc w:val="center"/>
        <w:rPr>
          <w:rFonts w:ascii="Times New Roman" w:hAnsi="Times New Roman" w:cs="Times New Roman"/>
          <w:b/>
          <w:bCs/>
          <w:lang w:val="en-GB"/>
        </w:rPr>
      </w:pPr>
    </w:p>
    <w:p w14:paraId="6D776052" w14:textId="31C5A6B9" w:rsidR="005A1090" w:rsidRPr="005974F0" w:rsidRDefault="005A1090" w:rsidP="00F95D69">
      <w:pPr>
        <w:spacing w:after="0" w:line="240" w:lineRule="auto"/>
        <w:jc w:val="center"/>
        <w:rPr>
          <w:rFonts w:ascii="Times New Roman" w:hAnsi="Times New Roman" w:cs="Times New Roman"/>
          <w:b/>
          <w:bCs/>
          <w:lang w:val="en-GB"/>
        </w:rPr>
      </w:pPr>
      <w:r w:rsidRPr="005974F0">
        <w:rPr>
          <w:rFonts w:ascii="Times New Roman" w:hAnsi="Times New Roman" w:cs="Times New Roman"/>
          <w:b/>
          <w:bCs/>
          <w:lang w:val="en-GB"/>
        </w:rPr>
        <w:t xml:space="preserve">Review of Teacher Work Student Feedback of the </w:t>
      </w:r>
      <w:r w:rsidR="00CD5287">
        <w:rPr>
          <w:rFonts w:ascii="Times New Roman" w:hAnsi="Times New Roman" w:cs="Times New Roman"/>
          <w:b/>
          <w:bCs/>
          <w:lang w:val="en-GB"/>
        </w:rPr>
        <w:t>second</w:t>
      </w:r>
      <w:r w:rsidRPr="005974F0">
        <w:rPr>
          <w:rFonts w:ascii="Times New Roman" w:hAnsi="Times New Roman" w:cs="Times New Roman"/>
          <w:b/>
          <w:bCs/>
          <w:lang w:val="en-GB"/>
        </w:rPr>
        <w:t xml:space="preserve"> semester of the 2023-2024 academic year.</w:t>
      </w:r>
    </w:p>
    <w:p w14:paraId="49D84295" w14:textId="77777777" w:rsidR="005A1090" w:rsidRPr="005974F0" w:rsidRDefault="005A1090" w:rsidP="00F95D69">
      <w:pPr>
        <w:spacing w:after="0" w:line="240" w:lineRule="auto"/>
        <w:jc w:val="center"/>
        <w:rPr>
          <w:rFonts w:ascii="Times New Roman" w:hAnsi="Times New Roman" w:cs="Times New Roman"/>
          <w:b/>
          <w:bCs/>
          <w:lang w:val="en-GB"/>
        </w:rPr>
      </w:pPr>
    </w:p>
    <w:p w14:paraId="252FA588" w14:textId="124A2E5C" w:rsidR="00D02699" w:rsidRPr="005974F0" w:rsidRDefault="005A1090" w:rsidP="00F95D69">
      <w:pPr>
        <w:spacing w:after="0" w:line="240" w:lineRule="auto"/>
        <w:jc w:val="center"/>
        <w:rPr>
          <w:rFonts w:ascii="Times New Roman" w:hAnsi="Times New Roman" w:cs="Times New Roman"/>
          <w:b/>
          <w:bCs/>
          <w:lang w:val="en-GB"/>
        </w:rPr>
      </w:pPr>
      <w:r w:rsidRPr="005974F0">
        <w:rPr>
          <w:rFonts w:ascii="Times New Roman" w:hAnsi="Times New Roman" w:cs="Times New Roman"/>
          <w:b/>
          <w:bCs/>
          <w:lang w:val="en-GB"/>
        </w:rPr>
        <w:t>Unipoll system – pilot</w:t>
      </w:r>
    </w:p>
    <w:p w14:paraId="10023438" w14:textId="77777777" w:rsidR="005A1090" w:rsidRPr="005974F0" w:rsidRDefault="005A1090" w:rsidP="00F95D69">
      <w:pPr>
        <w:spacing w:after="0" w:line="240" w:lineRule="auto"/>
        <w:jc w:val="center"/>
        <w:rPr>
          <w:rFonts w:ascii="Times New Roman" w:hAnsi="Times New Roman" w:cs="Times New Roman"/>
          <w:b/>
          <w:bCs/>
          <w:lang w:val="en-GB"/>
        </w:rPr>
      </w:pPr>
    </w:p>
    <w:p w14:paraId="3A90D6BB" w14:textId="40C9311C" w:rsidR="005A1090" w:rsidRPr="005974F0" w:rsidRDefault="005A1090"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 xml:space="preserve">As in </w:t>
      </w:r>
      <w:r w:rsidR="00635947" w:rsidRPr="005974F0">
        <w:rPr>
          <w:rFonts w:ascii="Times New Roman" w:hAnsi="Times New Roman" w:cs="Times New Roman"/>
          <w:lang w:val="en-GB"/>
        </w:rPr>
        <w:t xml:space="preserve">the </w:t>
      </w:r>
      <w:r w:rsidRPr="005974F0">
        <w:rPr>
          <w:rFonts w:ascii="Times New Roman" w:hAnsi="Times New Roman" w:cs="Times New Roman"/>
          <w:lang w:val="en-GB"/>
        </w:rPr>
        <w:t xml:space="preserve">previous semesters, in the second semester of the 2023/2024 academic year the University of Miskolc provided students with the opportunity to evaluate their instructors' courses according to various criteria, based on the faculties' sampling plans. In this semester, we also piloted course and instructor evaluation </w:t>
      </w:r>
      <w:r w:rsidR="00312740" w:rsidRPr="005974F0">
        <w:rPr>
          <w:rFonts w:ascii="Times New Roman" w:hAnsi="Times New Roman" w:cs="Times New Roman"/>
          <w:lang w:val="en-GB"/>
        </w:rPr>
        <w:t>survey</w:t>
      </w:r>
      <w:r w:rsidRPr="005974F0">
        <w:rPr>
          <w:rFonts w:ascii="Times New Roman" w:hAnsi="Times New Roman" w:cs="Times New Roman"/>
          <w:lang w:val="en-GB"/>
        </w:rPr>
        <w:t xml:space="preserve">s in the Unipoll system with the help of the Neptun team.  </w:t>
      </w:r>
    </w:p>
    <w:p w14:paraId="31A42B89" w14:textId="77777777" w:rsidR="005A1090" w:rsidRPr="005974F0" w:rsidRDefault="005A1090" w:rsidP="00F95D69">
      <w:pPr>
        <w:spacing w:after="0" w:line="240" w:lineRule="auto"/>
        <w:jc w:val="both"/>
        <w:rPr>
          <w:rFonts w:ascii="Times New Roman" w:hAnsi="Times New Roman" w:cs="Times New Roman"/>
          <w:lang w:val="en-GB"/>
        </w:rPr>
      </w:pPr>
    </w:p>
    <w:p w14:paraId="618A90CF" w14:textId="359DFF1D" w:rsidR="005A1090" w:rsidRPr="005974F0" w:rsidRDefault="005A1090"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During the pilot implementation of the Uni</w:t>
      </w:r>
      <w:r w:rsidR="005974F0" w:rsidRPr="005974F0">
        <w:rPr>
          <w:rFonts w:ascii="Times New Roman" w:hAnsi="Times New Roman" w:cs="Times New Roman"/>
          <w:lang w:val="en-GB"/>
        </w:rPr>
        <w:t>p</w:t>
      </w:r>
      <w:r w:rsidRPr="005974F0">
        <w:rPr>
          <w:rFonts w:ascii="Times New Roman" w:hAnsi="Times New Roman" w:cs="Times New Roman"/>
          <w:lang w:val="en-GB"/>
        </w:rPr>
        <w:t>oll system, we launched 27 course evaluation requests in the system. The faculty distribution of these w</w:t>
      </w:r>
      <w:r w:rsidR="005974F0" w:rsidRPr="005974F0">
        <w:rPr>
          <w:rFonts w:ascii="Times New Roman" w:hAnsi="Times New Roman" w:cs="Times New Roman"/>
          <w:lang w:val="en-GB"/>
        </w:rPr>
        <w:t>ere</w:t>
      </w:r>
      <w:r w:rsidRPr="005974F0">
        <w:rPr>
          <w:rFonts w:ascii="Times New Roman" w:hAnsi="Times New Roman" w:cs="Times New Roman"/>
          <w:lang w:val="en-GB"/>
        </w:rPr>
        <w:t xml:space="preserve">: 4 </w:t>
      </w:r>
      <w:r w:rsidR="005974F0" w:rsidRPr="005974F0">
        <w:rPr>
          <w:rFonts w:ascii="Times New Roman" w:hAnsi="Times New Roman" w:cs="Times New Roman"/>
          <w:lang w:val="en-GB"/>
        </w:rPr>
        <w:t xml:space="preserve">from </w:t>
      </w:r>
      <w:r w:rsidRPr="005974F0">
        <w:rPr>
          <w:rFonts w:ascii="Times New Roman" w:hAnsi="Times New Roman" w:cs="Times New Roman"/>
          <w:lang w:val="en-GB"/>
        </w:rPr>
        <w:t>faculties o</w:t>
      </w:r>
      <w:r w:rsidR="00412EED" w:rsidRPr="005974F0">
        <w:rPr>
          <w:rFonts w:ascii="Times New Roman" w:hAnsi="Times New Roman" w:cs="Times New Roman"/>
          <w:lang w:val="en-GB"/>
        </w:rPr>
        <w:t>f Law</w:t>
      </w:r>
      <w:r w:rsidRPr="005974F0">
        <w:rPr>
          <w:rFonts w:ascii="Times New Roman" w:hAnsi="Times New Roman" w:cs="Times New Roman"/>
          <w:lang w:val="en-GB"/>
        </w:rPr>
        <w:t>, 3</w:t>
      </w:r>
      <w:r w:rsidR="005974F0" w:rsidRPr="005974F0">
        <w:rPr>
          <w:rFonts w:ascii="Times New Roman" w:hAnsi="Times New Roman" w:cs="Times New Roman"/>
          <w:lang w:val="en-GB"/>
        </w:rPr>
        <w:t xml:space="preserve"> from</w:t>
      </w:r>
      <w:r w:rsidRPr="005974F0">
        <w:rPr>
          <w:rFonts w:ascii="Times New Roman" w:hAnsi="Times New Roman" w:cs="Times New Roman"/>
          <w:lang w:val="en-GB"/>
        </w:rPr>
        <w:t xml:space="preserve"> faculties of Humanities and Social Sciences, 15 </w:t>
      </w:r>
      <w:r w:rsidR="005974F0" w:rsidRPr="005974F0">
        <w:rPr>
          <w:rFonts w:ascii="Times New Roman" w:hAnsi="Times New Roman" w:cs="Times New Roman"/>
          <w:lang w:val="en-GB"/>
        </w:rPr>
        <w:t xml:space="preserve">from </w:t>
      </w:r>
      <w:r w:rsidRPr="005974F0">
        <w:rPr>
          <w:rFonts w:ascii="Times New Roman" w:hAnsi="Times New Roman" w:cs="Times New Roman"/>
          <w:lang w:val="en-GB"/>
        </w:rPr>
        <w:t xml:space="preserve">faculties of Mechanical Engineering and Informatics, 4 </w:t>
      </w:r>
      <w:r w:rsidR="005974F0" w:rsidRPr="005974F0">
        <w:rPr>
          <w:rFonts w:ascii="Times New Roman" w:hAnsi="Times New Roman" w:cs="Times New Roman"/>
          <w:lang w:val="en-GB"/>
        </w:rPr>
        <w:t xml:space="preserve">from </w:t>
      </w:r>
      <w:r w:rsidRPr="005974F0">
        <w:rPr>
          <w:rFonts w:ascii="Times New Roman" w:hAnsi="Times New Roman" w:cs="Times New Roman"/>
          <w:lang w:val="en-GB"/>
        </w:rPr>
        <w:t xml:space="preserve">faculties of Economics and 1 </w:t>
      </w:r>
      <w:r w:rsidR="005974F0" w:rsidRPr="005974F0">
        <w:rPr>
          <w:rFonts w:ascii="Times New Roman" w:hAnsi="Times New Roman" w:cs="Times New Roman"/>
          <w:lang w:val="en-GB"/>
        </w:rPr>
        <w:t xml:space="preserve">from </w:t>
      </w:r>
      <w:r w:rsidRPr="005974F0">
        <w:rPr>
          <w:rFonts w:ascii="Times New Roman" w:hAnsi="Times New Roman" w:cs="Times New Roman"/>
          <w:lang w:val="en-GB"/>
        </w:rPr>
        <w:t xml:space="preserve">faculty of Materials and Chemical Engineering (The other faculties did not participate in the pilot survey due to the later sending of the sampling plan. For all faculties, </w:t>
      </w:r>
      <w:r w:rsidR="005974F0" w:rsidRPr="005974F0">
        <w:rPr>
          <w:rFonts w:ascii="Times New Roman" w:hAnsi="Times New Roman" w:cs="Times New Roman"/>
          <w:lang w:val="en-GB"/>
        </w:rPr>
        <w:t>most of the</w:t>
      </w:r>
      <w:r w:rsidRPr="005974F0">
        <w:rPr>
          <w:rFonts w:ascii="Times New Roman" w:hAnsi="Times New Roman" w:cs="Times New Roman"/>
          <w:lang w:val="en-GB"/>
        </w:rPr>
        <w:t xml:space="preserve"> </w:t>
      </w:r>
      <w:r w:rsidR="005974F0" w:rsidRPr="005974F0">
        <w:rPr>
          <w:rStyle w:val="normaltextrun"/>
          <w:rFonts w:ascii="Times New Roman" w:hAnsi="Times New Roman" w:cs="Times New Roman"/>
          <w:lang w:val="en-GB"/>
        </w:rPr>
        <w:t xml:space="preserve">Teacher Work Student Feedback (OMHV) </w:t>
      </w:r>
      <w:r w:rsidRPr="005974F0">
        <w:rPr>
          <w:rFonts w:ascii="Times New Roman" w:hAnsi="Times New Roman" w:cs="Times New Roman"/>
          <w:lang w:val="en-GB"/>
        </w:rPr>
        <w:t>surveys were launched and data collected in the Evasys system, which was evaluated separately.) Data collection took place between 27 June 2024 and 25 July 2024, and the survey showed a high response rate in several cases. A total of 811 requests for completion and survey responses were received in the Uni</w:t>
      </w:r>
      <w:r w:rsidR="005974F0">
        <w:rPr>
          <w:rFonts w:ascii="Times New Roman" w:hAnsi="Times New Roman" w:cs="Times New Roman"/>
          <w:lang w:val="en-GB"/>
        </w:rPr>
        <w:t>p</w:t>
      </w:r>
      <w:r w:rsidRPr="005974F0">
        <w:rPr>
          <w:rFonts w:ascii="Times New Roman" w:hAnsi="Times New Roman" w:cs="Times New Roman"/>
          <w:lang w:val="en-GB"/>
        </w:rPr>
        <w:t xml:space="preserve">oll system, of which 554 were returned partially completed and 436 fully completed. These </w:t>
      </w:r>
      <w:r w:rsidR="00312740" w:rsidRPr="005974F0">
        <w:rPr>
          <w:rFonts w:ascii="Times New Roman" w:hAnsi="Times New Roman" w:cs="Times New Roman"/>
          <w:lang w:val="en-GB"/>
        </w:rPr>
        <w:t>survey</w:t>
      </w:r>
      <w:r w:rsidRPr="005974F0">
        <w:rPr>
          <w:rFonts w:ascii="Times New Roman" w:hAnsi="Times New Roman" w:cs="Times New Roman"/>
          <w:lang w:val="en-GB"/>
        </w:rPr>
        <w:t>s, broken down by number of items, are shown in the graph below.</w:t>
      </w:r>
    </w:p>
    <w:p w14:paraId="1BE24871" w14:textId="58AE11CA" w:rsidR="005A1090" w:rsidRPr="005974F0" w:rsidRDefault="005A1090" w:rsidP="00F95D69">
      <w:pPr>
        <w:spacing w:after="0" w:line="240" w:lineRule="auto"/>
        <w:jc w:val="both"/>
        <w:rPr>
          <w:rFonts w:ascii="Times New Roman" w:hAnsi="Times New Roman" w:cs="Times New Roman"/>
          <w:lang w:val="en-GB"/>
        </w:rPr>
      </w:pPr>
    </w:p>
    <w:p w14:paraId="5572E754" w14:textId="120047AD" w:rsidR="005A1090" w:rsidRPr="005974F0" w:rsidRDefault="00F93A6E" w:rsidP="00F93A6E">
      <w:pPr>
        <w:rPr>
          <w:rFonts w:ascii="Times New Roman" w:hAnsi="Times New Roman" w:cs="Times New Roman"/>
          <w:b/>
          <w:bCs/>
          <w:lang w:val="en-GB"/>
        </w:rPr>
      </w:pPr>
      <w:r w:rsidRPr="005974F0">
        <w:rPr>
          <w:rFonts w:ascii="Times New Roman" w:hAnsi="Times New Roman" w:cs="Times New Roman"/>
          <w:noProof/>
          <w:lang w:val="en-GB"/>
        </w:rPr>
        <mc:AlternateContent>
          <mc:Choice Requires="wps">
            <w:drawing>
              <wp:anchor distT="45720" distB="45720" distL="114300" distR="114300" simplePos="0" relativeHeight="251659264" behindDoc="0" locked="0" layoutInCell="1" allowOverlap="1" wp14:anchorId="53E6295D" wp14:editId="6D8F8EC5">
                <wp:simplePos x="0" y="0"/>
                <wp:positionH relativeFrom="column">
                  <wp:posOffset>634227</wp:posOffset>
                </wp:positionH>
                <wp:positionV relativeFrom="paragraph">
                  <wp:posOffset>6350</wp:posOffset>
                </wp:positionV>
                <wp:extent cx="5072932" cy="294198"/>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932" cy="294198"/>
                        </a:xfrm>
                        <a:prstGeom prst="rect">
                          <a:avLst/>
                        </a:prstGeom>
                        <a:solidFill>
                          <a:srgbClr val="FFFFFF"/>
                        </a:solidFill>
                        <a:ln w="9525">
                          <a:noFill/>
                          <a:miter lim="800000"/>
                          <a:headEnd/>
                          <a:tailEnd/>
                        </a:ln>
                      </wps:spPr>
                      <wps:txbx>
                        <w:txbxContent>
                          <w:p w14:paraId="2B7CD34B" w14:textId="11C0515A" w:rsidR="00F93A6E" w:rsidRPr="00B66872" w:rsidRDefault="00F93A6E" w:rsidP="00F93A6E">
                            <w:pPr>
                              <w:rPr>
                                <w:b/>
                                <w:bCs/>
                              </w:rPr>
                            </w:pPr>
                            <w:r w:rsidRPr="00B66872">
                              <w:rPr>
                                <w:b/>
                                <w:bCs/>
                              </w:rPr>
                              <w:t xml:space="preserve">Completed </w:t>
                            </w:r>
                            <w:r w:rsidR="005F230C" w:rsidRPr="00B66872">
                              <w:rPr>
                                <w:b/>
                                <w:bCs/>
                              </w:rPr>
                              <w:t>/ Partially</w:t>
                            </w:r>
                            <w:r w:rsidRPr="00B66872">
                              <w:rPr>
                                <w:b/>
                                <w:bCs/>
                              </w:rPr>
                              <w:t xml:space="preserve"> Completed / Incomplete surveys per faculty </w:t>
                            </w:r>
                          </w:p>
                          <w:p w14:paraId="7D918807" w14:textId="574DEC90" w:rsidR="00F93A6E" w:rsidRDefault="00F93A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6295D" id="_x0000_t202" coordsize="21600,21600" o:spt="202" path="m,l,21600r21600,l21600,xe">
                <v:stroke joinstyle="miter"/>
                <v:path gradientshapeok="t" o:connecttype="rect"/>
              </v:shapetype>
              <v:shape id="Szövegdoboz 2" o:spid="_x0000_s1026" type="#_x0000_t202" style="position:absolute;margin-left:49.95pt;margin-top:.5pt;width:399.45pt;height:2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" stroked="f">
                <v:textbox>
                  <w:txbxContent>
                    <w:p w14:paraId="2B7CD34B" w14:textId="11C0515A" w:rsidR="00F93A6E" w:rsidRPr="00B66872" w:rsidRDefault="00F93A6E" w:rsidP="00F93A6E">
                      <w:pPr>
                        <w:rPr>
                          <w:b/>
                          <w:bCs/>
                        </w:rPr>
                      </w:pPr>
                      <w:r w:rsidRPr="00B66872">
                        <w:rPr>
                          <w:b/>
                          <w:bCs/>
                        </w:rPr>
                        <w:t xml:space="preserve">Completed </w:t>
                      </w:r>
                      <w:r w:rsidR="005F230C" w:rsidRPr="00B66872">
                        <w:rPr>
                          <w:b/>
                          <w:bCs/>
                        </w:rPr>
                        <w:t>/ Partially</w:t>
                      </w:r>
                      <w:r w:rsidRPr="00B66872">
                        <w:rPr>
                          <w:b/>
                          <w:bCs/>
                        </w:rPr>
                        <w:t xml:space="preserve"> Completed / Incomplete surveys per faculty </w:t>
                      </w:r>
                    </w:p>
                    <w:p w14:paraId="7D918807" w14:textId="574DEC90" w:rsidR="00F93A6E" w:rsidRDefault="00F93A6E"/>
                  </w:txbxContent>
                </v:textbox>
              </v:shape>
            </w:pict>
          </mc:Fallback>
        </mc:AlternateContent>
      </w:r>
      <w:r w:rsidRPr="005974F0">
        <w:rPr>
          <w:rFonts w:ascii="Times New Roman" w:hAnsi="Times New Roman" w:cs="Times New Roman"/>
          <w:noProof/>
        </w:rPr>
        <w:drawing>
          <wp:inline distT="0" distB="0" distL="0" distR="0" wp14:anchorId="13FD74D5" wp14:editId="39A5D1D2">
            <wp:extent cx="5760720" cy="3767455"/>
            <wp:effectExtent l="0" t="0" r="11430" b="4445"/>
            <wp:docPr id="582162308" name="Diagram 1">
              <a:extLst xmlns:a="http://schemas.openxmlformats.org/drawingml/2006/main">
                <a:ext uri="{FF2B5EF4-FFF2-40B4-BE49-F238E27FC236}">
                  <a16:creationId xmlns:a16="http://schemas.microsoft.com/office/drawing/2014/main" id="{734165CF-4147-BB04-5FD5-389D991C60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69669D4" w14:textId="44BCA24D" w:rsidR="005A1090" w:rsidRPr="005974F0" w:rsidRDefault="005A1090" w:rsidP="00F95D69">
      <w:pPr>
        <w:spacing w:after="0" w:line="240" w:lineRule="auto"/>
        <w:jc w:val="both"/>
        <w:rPr>
          <w:rFonts w:ascii="Times New Roman" w:hAnsi="Times New Roman" w:cs="Times New Roman"/>
          <w:b/>
          <w:bCs/>
          <w:lang w:val="en-GB"/>
        </w:rPr>
      </w:pPr>
    </w:p>
    <w:p w14:paraId="2FC1DEA4" w14:textId="461B519F" w:rsidR="005A1090" w:rsidRPr="005974F0" w:rsidRDefault="00412EED"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lastRenderedPageBreak/>
        <w:t xml:space="preserve">Using the data from the previous graph, we have aggregated the summary data on willingness to respond by comparing the </w:t>
      </w:r>
      <w:r w:rsidR="00312740" w:rsidRPr="005974F0">
        <w:rPr>
          <w:rFonts w:ascii="Times New Roman" w:hAnsi="Times New Roman" w:cs="Times New Roman"/>
          <w:lang w:val="en-GB"/>
        </w:rPr>
        <w:t>survey</w:t>
      </w:r>
      <w:r w:rsidRPr="005974F0">
        <w:rPr>
          <w:rFonts w:ascii="Times New Roman" w:hAnsi="Times New Roman" w:cs="Times New Roman"/>
          <w:lang w:val="en-GB"/>
        </w:rPr>
        <w:t>s sent out and those that were not completed in the following table.</w:t>
      </w:r>
    </w:p>
    <w:p w14:paraId="12C8EA3B" w14:textId="77777777" w:rsidR="00412EED" w:rsidRPr="005974F0" w:rsidRDefault="00412EED" w:rsidP="00F95D69">
      <w:pPr>
        <w:spacing w:after="0" w:line="240" w:lineRule="auto"/>
        <w:jc w:val="both"/>
        <w:rPr>
          <w:rFonts w:ascii="Times New Roman" w:hAnsi="Times New Roman" w:cs="Times New Roman"/>
          <w:lang w:val="en-GB"/>
        </w:rPr>
      </w:pPr>
    </w:p>
    <w:tbl>
      <w:tblPr>
        <w:tblStyle w:val="Rcsostblzat"/>
        <w:tblW w:w="0" w:type="auto"/>
        <w:tblInd w:w="-5" w:type="dxa"/>
        <w:tblLook w:val="04A0" w:firstRow="1" w:lastRow="0" w:firstColumn="1" w:lastColumn="0" w:noHBand="0" w:noVBand="1"/>
      </w:tblPr>
      <w:tblGrid>
        <w:gridCol w:w="2376"/>
        <w:gridCol w:w="2222"/>
        <w:gridCol w:w="2247"/>
        <w:gridCol w:w="2217"/>
      </w:tblGrid>
      <w:tr w:rsidR="00F95D69" w:rsidRPr="005974F0" w14:paraId="2518CF05" w14:textId="77777777" w:rsidTr="00536EC3">
        <w:tc>
          <w:tcPr>
            <w:tcW w:w="2376" w:type="dxa"/>
            <w:tcBorders>
              <w:top w:val="single" w:sz="4" w:space="0" w:color="auto"/>
              <w:left w:val="single" w:sz="4" w:space="0" w:color="auto"/>
              <w:bottom w:val="single" w:sz="4" w:space="0" w:color="auto"/>
              <w:right w:val="single" w:sz="4" w:space="0" w:color="auto"/>
            </w:tcBorders>
            <w:hideMark/>
          </w:tcPr>
          <w:p w14:paraId="72926FB4" w14:textId="77777777" w:rsidR="0020350B" w:rsidRPr="005974F0" w:rsidRDefault="0020350B" w:rsidP="00F95D69">
            <w:pPr>
              <w:jc w:val="center"/>
              <w:rPr>
                <w:rFonts w:ascii="Times New Roman" w:hAnsi="Times New Roman" w:cs="Times New Roman"/>
                <w:lang w:val="en-GB"/>
              </w:rPr>
            </w:pPr>
          </w:p>
          <w:p w14:paraId="0DD86E60" w14:textId="2DD8D5E5" w:rsidR="00F95D69" w:rsidRPr="005974F0" w:rsidRDefault="00C0470D" w:rsidP="00F95D69">
            <w:pPr>
              <w:jc w:val="center"/>
              <w:rPr>
                <w:rFonts w:ascii="Times New Roman" w:hAnsi="Times New Roman" w:cs="Times New Roman"/>
                <w:lang w:val="en-GB"/>
              </w:rPr>
            </w:pPr>
            <w:r w:rsidRPr="005974F0">
              <w:rPr>
                <w:rFonts w:ascii="Times New Roman" w:hAnsi="Times New Roman" w:cs="Times New Roman"/>
                <w:lang w:val="en-GB"/>
              </w:rPr>
              <w:t>Faculty</w:t>
            </w:r>
          </w:p>
        </w:tc>
        <w:tc>
          <w:tcPr>
            <w:tcW w:w="2222" w:type="dxa"/>
            <w:tcBorders>
              <w:top w:val="single" w:sz="4" w:space="0" w:color="auto"/>
              <w:left w:val="single" w:sz="4" w:space="0" w:color="auto"/>
              <w:bottom w:val="single" w:sz="4" w:space="0" w:color="auto"/>
              <w:right w:val="single" w:sz="4" w:space="0" w:color="auto"/>
            </w:tcBorders>
            <w:hideMark/>
          </w:tcPr>
          <w:p w14:paraId="430F0888" w14:textId="11ACC22F" w:rsidR="00F95D69" w:rsidRPr="005974F0" w:rsidRDefault="00C0470D" w:rsidP="00F95D69">
            <w:pPr>
              <w:jc w:val="center"/>
              <w:rPr>
                <w:rFonts w:ascii="Times New Roman" w:hAnsi="Times New Roman" w:cs="Times New Roman"/>
                <w:lang w:val="en-GB"/>
              </w:rPr>
            </w:pPr>
            <w:r w:rsidRPr="005974F0">
              <w:rPr>
                <w:rFonts w:ascii="Times New Roman" w:hAnsi="Times New Roman" w:cs="Times New Roman"/>
                <w:lang w:val="en-GB"/>
              </w:rPr>
              <w:t>Number of surveys launched (pcs)</w:t>
            </w:r>
          </w:p>
        </w:tc>
        <w:tc>
          <w:tcPr>
            <w:tcW w:w="2247" w:type="dxa"/>
            <w:tcBorders>
              <w:top w:val="single" w:sz="4" w:space="0" w:color="auto"/>
              <w:left w:val="single" w:sz="4" w:space="0" w:color="auto"/>
              <w:bottom w:val="single" w:sz="4" w:space="0" w:color="auto"/>
              <w:right w:val="single" w:sz="4" w:space="0" w:color="auto"/>
            </w:tcBorders>
            <w:hideMark/>
          </w:tcPr>
          <w:p w14:paraId="32C710F7" w14:textId="315C4D6C" w:rsidR="00F95D69" w:rsidRPr="005974F0" w:rsidRDefault="00C0470D" w:rsidP="00F95D69">
            <w:pPr>
              <w:jc w:val="center"/>
              <w:rPr>
                <w:rFonts w:ascii="Times New Roman" w:hAnsi="Times New Roman" w:cs="Times New Roman"/>
                <w:lang w:val="en-GB"/>
              </w:rPr>
            </w:pPr>
            <w:r w:rsidRPr="005974F0">
              <w:rPr>
                <w:rFonts w:ascii="Times New Roman" w:hAnsi="Times New Roman" w:cs="Times New Roman"/>
                <w:lang w:val="en-GB"/>
              </w:rPr>
              <w:t>Number of unanswered surveys</w:t>
            </w:r>
            <w:r w:rsidR="00F95D69" w:rsidRPr="005974F0">
              <w:rPr>
                <w:rFonts w:ascii="Times New Roman" w:hAnsi="Times New Roman" w:cs="Times New Roman"/>
                <w:lang w:val="en-GB"/>
              </w:rPr>
              <w:t xml:space="preserve"> (</w:t>
            </w:r>
            <w:r w:rsidRPr="005974F0">
              <w:rPr>
                <w:rFonts w:ascii="Times New Roman" w:hAnsi="Times New Roman" w:cs="Times New Roman"/>
                <w:lang w:val="en-GB"/>
              </w:rPr>
              <w:t>pcs</w:t>
            </w:r>
            <w:r w:rsidR="00F95D69" w:rsidRPr="005974F0">
              <w:rPr>
                <w:rFonts w:ascii="Times New Roman" w:hAnsi="Times New Roman" w:cs="Times New Roman"/>
                <w:lang w:val="en-GB"/>
              </w:rPr>
              <w:t>)</w:t>
            </w:r>
          </w:p>
        </w:tc>
        <w:tc>
          <w:tcPr>
            <w:tcW w:w="2217" w:type="dxa"/>
            <w:tcBorders>
              <w:top w:val="single" w:sz="4" w:space="0" w:color="auto"/>
              <w:left w:val="single" w:sz="4" w:space="0" w:color="auto"/>
              <w:bottom w:val="single" w:sz="4" w:space="0" w:color="auto"/>
              <w:right w:val="single" w:sz="4" w:space="0" w:color="auto"/>
            </w:tcBorders>
            <w:hideMark/>
          </w:tcPr>
          <w:p w14:paraId="19E2991E" w14:textId="5AC96AAF" w:rsidR="00F95D69" w:rsidRPr="005974F0" w:rsidRDefault="00C0470D" w:rsidP="00F95D69">
            <w:pPr>
              <w:jc w:val="center"/>
              <w:rPr>
                <w:rFonts w:ascii="Times New Roman" w:hAnsi="Times New Roman" w:cs="Times New Roman"/>
                <w:lang w:val="en-GB"/>
              </w:rPr>
            </w:pPr>
            <w:r w:rsidRPr="005974F0">
              <w:rPr>
                <w:rFonts w:ascii="Times New Roman" w:hAnsi="Times New Roman" w:cs="Times New Roman"/>
                <w:lang w:val="en-GB"/>
              </w:rPr>
              <w:t>Willingness to reply in average</w:t>
            </w:r>
            <w:r w:rsidR="00F95D69" w:rsidRPr="005974F0">
              <w:rPr>
                <w:rFonts w:ascii="Times New Roman" w:hAnsi="Times New Roman" w:cs="Times New Roman"/>
                <w:lang w:val="en-GB"/>
              </w:rPr>
              <w:t xml:space="preserve"> (%)</w:t>
            </w:r>
          </w:p>
        </w:tc>
      </w:tr>
      <w:tr w:rsidR="00F95D69" w:rsidRPr="005974F0" w14:paraId="23B5B157" w14:textId="77777777" w:rsidTr="00536EC3">
        <w:tc>
          <w:tcPr>
            <w:tcW w:w="2376" w:type="dxa"/>
            <w:tcBorders>
              <w:top w:val="single" w:sz="4" w:space="0" w:color="auto"/>
              <w:left w:val="single" w:sz="4" w:space="0" w:color="auto"/>
              <w:bottom w:val="single" w:sz="4" w:space="0" w:color="auto"/>
              <w:right w:val="single" w:sz="4" w:space="0" w:color="auto"/>
            </w:tcBorders>
            <w:hideMark/>
          </w:tcPr>
          <w:p w14:paraId="43CAB25B" w14:textId="09CF7A51" w:rsidR="00F95D69" w:rsidRPr="005974F0" w:rsidRDefault="00C0470D" w:rsidP="00F95D69">
            <w:pPr>
              <w:jc w:val="center"/>
              <w:rPr>
                <w:rFonts w:ascii="Times New Roman" w:hAnsi="Times New Roman" w:cs="Times New Roman"/>
                <w:lang w:val="en-GB"/>
              </w:rPr>
            </w:pPr>
            <w:r w:rsidRPr="005974F0">
              <w:rPr>
                <w:rFonts w:ascii="Times New Roman" w:hAnsi="Times New Roman" w:cs="Times New Roman"/>
                <w:lang w:val="en-GB"/>
              </w:rPr>
              <w:t>Faculty of Law</w:t>
            </w:r>
          </w:p>
        </w:tc>
        <w:tc>
          <w:tcPr>
            <w:tcW w:w="2222" w:type="dxa"/>
            <w:tcBorders>
              <w:top w:val="single" w:sz="4" w:space="0" w:color="auto"/>
              <w:left w:val="single" w:sz="4" w:space="0" w:color="auto"/>
              <w:bottom w:val="single" w:sz="4" w:space="0" w:color="auto"/>
              <w:right w:val="single" w:sz="4" w:space="0" w:color="auto"/>
            </w:tcBorders>
            <w:hideMark/>
          </w:tcPr>
          <w:p w14:paraId="52292818"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58</w:t>
            </w:r>
          </w:p>
        </w:tc>
        <w:tc>
          <w:tcPr>
            <w:tcW w:w="2247" w:type="dxa"/>
            <w:tcBorders>
              <w:top w:val="single" w:sz="4" w:space="0" w:color="auto"/>
              <w:left w:val="single" w:sz="4" w:space="0" w:color="auto"/>
              <w:bottom w:val="single" w:sz="4" w:space="0" w:color="auto"/>
              <w:right w:val="single" w:sz="4" w:space="0" w:color="auto"/>
            </w:tcBorders>
            <w:hideMark/>
          </w:tcPr>
          <w:p w14:paraId="0FF41529"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6</w:t>
            </w:r>
          </w:p>
        </w:tc>
        <w:tc>
          <w:tcPr>
            <w:tcW w:w="2217" w:type="dxa"/>
            <w:tcBorders>
              <w:top w:val="single" w:sz="4" w:space="0" w:color="auto"/>
              <w:left w:val="single" w:sz="4" w:space="0" w:color="auto"/>
              <w:bottom w:val="single" w:sz="4" w:space="0" w:color="auto"/>
              <w:right w:val="single" w:sz="4" w:space="0" w:color="auto"/>
            </w:tcBorders>
            <w:hideMark/>
          </w:tcPr>
          <w:p w14:paraId="21DC83B6"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44.82%</w:t>
            </w:r>
          </w:p>
        </w:tc>
      </w:tr>
      <w:tr w:rsidR="00F95D69" w:rsidRPr="005974F0" w14:paraId="3882BED7" w14:textId="77777777" w:rsidTr="00536EC3">
        <w:tc>
          <w:tcPr>
            <w:tcW w:w="2376" w:type="dxa"/>
            <w:tcBorders>
              <w:top w:val="single" w:sz="4" w:space="0" w:color="auto"/>
              <w:left w:val="single" w:sz="4" w:space="0" w:color="auto"/>
              <w:bottom w:val="single" w:sz="4" w:space="0" w:color="auto"/>
              <w:right w:val="single" w:sz="4" w:space="0" w:color="auto"/>
            </w:tcBorders>
            <w:hideMark/>
          </w:tcPr>
          <w:p w14:paraId="0C611061" w14:textId="58D8054C" w:rsidR="00F95D69" w:rsidRPr="005974F0" w:rsidRDefault="00C0470D" w:rsidP="00F95D69">
            <w:pPr>
              <w:jc w:val="center"/>
              <w:rPr>
                <w:rFonts w:ascii="Times New Roman" w:hAnsi="Times New Roman" w:cs="Times New Roman"/>
                <w:lang w:val="en-GB"/>
              </w:rPr>
            </w:pPr>
            <w:r w:rsidRPr="005974F0">
              <w:rPr>
                <w:rFonts w:ascii="Times New Roman" w:hAnsi="Times New Roman" w:cs="Times New Roman"/>
                <w:lang w:val="en-GB"/>
              </w:rPr>
              <w:t>Faculty of Materials and Chemical Engineering</w:t>
            </w:r>
          </w:p>
        </w:tc>
        <w:tc>
          <w:tcPr>
            <w:tcW w:w="2222" w:type="dxa"/>
            <w:tcBorders>
              <w:top w:val="single" w:sz="4" w:space="0" w:color="auto"/>
              <w:left w:val="single" w:sz="4" w:space="0" w:color="auto"/>
              <w:bottom w:val="single" w:sz="4" w:space="0" w:color="auto"/>
              <w:right w:val="single" w:sz="4" w:space="0" w:color="auto"/>
            </w:tcBorders>
            <w:hideMark/>
          </w:tcPr>
          <w:p w14:paraId="02BE0E71"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13</w:t>
            </w:r>
          </w:p>
        </w:tc>
        <w:tc>
          <w:tcPr>
            <w:tcW w:w="2247" w:type="dxa"/>
            <w:tcBorders>
              <w:top w:val="single" w:sz="4" w:space="0" w:color="auto"/>
              <w:left w:val="single" w:sz="4" w:space="0" w:color="auto"/>
              <w:bottom w:val="single" w:sz="4" w:space="0" w:color="auto"/>
              <w:right w:val="single" w:sz="4" w:space="0" w:color="auto"/>
            </w:tcBorders>
            <w:hideMark/>
          </w:tcPr>
          <w:p w14:paraId="503CB72D"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1</w:t>
            </w:r>
          </w:p>
        </w:tc>
        <w:tc>
          <w:tcPr>
            <w:tcW w:w="2217" w:type="dxa"/>
            <w:tcBorders>
              <w:top w:val="single" w:sz="4" w:space="0" w:color="auto"/>
              <w:left w:val="single" w:sz="4" w:space="0" w:color="auto"/>
              <w:bottom w:val="single" w:sz="4" w:space="0" w:color="auto"/>
              <w:right w:val="single" w:sz="4" w:space="0" w:color="auto"/>
            </w:tcBorders>
            <w:hideMark/>
          </w:tcPr>
          <w:p w14:paraId="444C270C"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53.84%</w:t>
            </w:r>
          </w:p>
        </w:tc>
      </w:tr>
      <w:tr w:rsidR="00F95D69" w:rsidRPr="005974F0" w14:paraId="19E50D25" w14:textId="77777777" w:rsidTr="00536EC3">
        <w:tc>
          <w:tcPr>
            <w:tcW w:w="2376" w:type="dxa"/>
            <w:tcBorders>
              <w:top w:val="single" w:sz="4" w:space="0" w:color="auto"/>
              <w:left w:val="single" w:sz="4" w:space="0" w:color="auto"/>
              <w:bottom w:val="single" w:sz="4" w:space="0" w:color="auto"/>
              <w:right w:val="single" w:sz="4" w:space="0" w:color="auto"/>
            </w:tcBorders>
            <w:hideMark/>
          </w:tcPr>
          <w:p w14:paraId="0AE022E3" w14:textId="01501EDA" w:rsidR="00F95D69" w:rsidRPr="005974F0" w:rsidRDefault="00C0470D" w:rsidP="00F95D69">
            <w:pPr>
              <w:jc w:val="center"/>
              <w:rPr>
                <w:rFonts w:ascii="Times New Roman" w:hAnsi="Times New Roman" w:cs="Times New Roman"/>
                <w:lang w:val="en-GB"/>
              </w:rPr>
            </w:pPr>
            <w:r w:rsidRPr="005974F0">
              <w:rPr>
                <w:rFonts w:ascii="Times New Roman" w:hAnsi="Times New Roman" w:cs="Times New Roman"/>
                <w:lang w:val="en-GB"/>
              </w:rPr>
              <w:t>Faculty of Humanities nad Social Sciences</w:t>
            </w:r>
          </w:p>
        </w:tc>
        <w:tc>
          <w:tcPr>
            <w:tcW w:w="2222" w:type="dxa"/>
            <w:tcBorders>
              <w:top w:val="single" w:sz="4" w:space="0" w:color="auto"/>
              <w:left w:val="single" w:sz="4" w:space="0" w:color="auto"/>
              <w:bottom w:val="single" w:sz="4" w:space="0" w:color="auto"/>
              <w:right w:val="single" w:sz="4" w:space="0" w:color="auto"/>
            </w:tcBorders>
            <w:hideMark/>
          </w:tcPr>
          <w:p w14:paraId="53A71DB4"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54</w:t>
            </w:r>
          </w:p>
        </w:tc>
        <w:tc>
          <w:tcPr>
            <w:tcW w:w="2247" w:type="dxa"/>
            <w:tcBorders>
              <w:top w:val="single" w:sz="4" w:space="0" w:color="auto"/>
              <w:left w:val="single" w:sz="4" w:space="0" w:color="auto"/>
              <w:bottom w:val="single" w:sz="4" w:space="0" w:color="auto"/>
              <w:right w:val="single" w:sz="4" w:space="0" w:color="auto"/>
            </w:tcBorders>
            <w:hideMark/>
          </w:tcPr>
          <w:p w14:paraId="4D2B67EB"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9</w:t>
            </w:r>
          </w:p>
        </w:tc>
        <w:tc>
          <w:tcPr>
            <w:tcW w:w="2217" w:type="dxa"/>
            <w:tcBorders>
              <w:top w:val="single" w:sz="4" w:space="0" w:color="auto"/>
              <w:left w:val="single" w:sz="4" w:space="0" w:color="auto"/>
              <w:bottom w:val="single" w:sz="4" w:space="0" w:color="auto"/>
              <w:right w:val="single" w:sz="4" w:space="0" w:color="auto"/>
            </w:tcBorders>
            <w:hideMark/>
          </w:tcPr>
          <w:p w14:paraId="153E80EF"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42.59%</w:t>
            </w:r>
          </w:p>
        </w:tc>
      </w:tr>
      <w:tr w:rsidR="00F95D69" w:rsidRPr="005974F0" w14:paraId="6174CB8C" w14:textId="77777777" w:rsidTr="00536EC3">
        <w:tc>
          <w:tcPr>
            <w:tcW w:w="2376" w:type="dxa"/>
            <w:tcBorders>
              <w:top w:val="single" w:sz="4" w:space="0" w:color="auto"/>
              <w:left w:val="single" w:sz="4" w:space="0" w:color="auto"/>
              <w:bottom w:val="single" w:sz="4" w:space="0" w:color="auto"/>
              <w:right w:val="single" w:sz="4" w:space="0" w:color="auto"/>
            </w:tcBorders>
            <w:hideMark/>
          </w:tcPr>
          <w:p w14:paraId="03360063" w14:textId="2E819E36" w:rsidR="00F95D69" w:rsidRPr="005974F0" w:rsidRDefault="00C0470D" w:rsidP="00F95D69">
            <w:pPr>
              <w:jc w:val="center"/>
              <w:rPr>
                <w:rFonts w:ascii="Times New Roman" w:hAnsi="Times New Roman" w:cs="Times New Roman"/>
                <w:lang w:val="en-GB"/>
              </w:rPr>
            </w:pPr>
            <w:r w:rsidRPr="005974F0">
              <w:rPr>
                <w:rFonts w:ascii="Times New Roman" w:hAnsi="Times New Roman" w:cs="Times New Roman"/>
                <w:lang w:val="en-GB"/>
              </w:rPr>
              <w:t>Faculty of Mechanical Engineering and Informatics</w:t>
            </w:r>
          </w:p>
        </w:tc>
        <w:tc>
          <w:tcPr>
            <w:tcW w:w="2222" w:type="dxa"/>
            <w:tcBorders>
              <w:top w:val="single" w:sz="4" w:space="0" w:color="auto"/>
              <w:left w:val="single" w:sz="4" w:space="0" w:color="auto"/>
              <w:bottom w:val="single" w:sz="4" w:space="0" w:color="auto"/>
              <w:right w:val="single" w:sz="4" w:space="0" w:color="auto"/>
            </w:tcBorders>
            <w:hideMark/>
          </w:tcPr>
          <w:p w14:paraId="49B9956E"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401</w:t>
            </w:r>
          </w:p>
        </w:tc>
        <w:tc>
          <w:tcPr>
            <w:tcW w:w="2247" w:type="dxa"/>
            <w:tcBorders>
              <w:top w:val="single" w:sz="4" w:space="0" w:color="auto"/>
              <w:left w:val="single" w:sz="4" w:space="0" w:color="auto"/>
              <w:bottom w:val="single" w:sz="4" w:space="0" w:color="auto"/>
              <w:right w:val="single" w:sz="4" w:space="0" w:color="auto"/>
            </w:tcBorders>
            <w:hideMark/>
          </w:tcPr>
          <w:p w14:paraId="6FA67108"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88</w:t>
            </w:r>
          </w:p>
        </w:tc>
        <w:tc>
          <w:tcPr>
            <w:tcW w:w="2217" w:type="dxa"/>
            <w:tcBorders>
              <w:top w:val="single" w:sz="4" w:space="0" w:color="auto"/>
              <w:left w:val="single" w:sz="4" w:space="0" w:color="auto"/>
              <w:bottom w:val="single" w:sz="4" w:space="0" w:color="auto"/>
              <w:right w:val="single" w:sz="4" w:space="0" w:color="auto"/>
            </w:tcBorders>
            <w:hideMark/>
          </w:tcPr>
          <w:p w14:paraId="5F4B291B"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77.05%</w:t>
            </w:r>
          </w:p>
        </w:tc>
      </w:tr>
      <w:tr w:rsidR="00F95D69" w:rsidRPr="005974F0" w14:paraId="22EC9BA3" w14:textId="77777777" w:rsidTr="00536EC3">
        <w:tc>
          <w:tcPr>
            <w:tcW w:w="2376" w:type="dxa"/>
            <w:tcBorders>
              <w:top w:val="single" w:sz="4" w:space="0" w:color="auto"/>
              <w:left w:val="single" w:sz="4" w:space="0" w:color="auto"/>
              <w:bottom w:val="single" w:sz="4" w:space="0" w:color="auto"/>
              <w:right w:val="single" w:sz="4" w:space="0" w:color="auto"/>
            </w:tcBorders>
            <w:hideMark/>
          </w:tcPr>
          <w:p w14:paraId="58B1926C" w14:textId="4939452B" w:rsidR="00F95D69" w:rsidRPr="005974F0" w:rsidRDefault="00C0470D" w:rsidP="00F95D69">
            <w:pPr>
              <w:jc w:val="center"/>
              <w:rPr>
                <w:rFonts w:ascii="Times New Roman" w:hAnsi="Times New Roman" w:cs="Times New Roman"/>
                <w:lang w:val="en-GB"/>
              </w:rPr>
            </w:pPr>
            <w:r w:rsidRPr="005974F0">
              <w:rPr>
                <w:rFonts w:ascii="Times New Roman" w:hAnsi="Times New Roman" w:cs="Times New Roman"/>
                <w:lang w:val="en-GB"/>
              </w:rPr>
              <w:t>Faculty of Economics</w:t>
            </w:r>
          </w:p>
        </w:tc>
        <w:tc>
          <w:tcPr>
            <w:tcW w:w="2222" w:type="dxa"/>
            <w:tcBorders>
              <w:top w:val="single" w:sz="4" w:space="0" w:color="auto"/>
              <w:left w:val="single" w:sz="4" w:space="0" w:color="auto"/>
              <w:bottom w:val="single" w:sz="4" w:space="0" w:color="auto"/>
              <w:right w:val="single" w:sz="4" w:space="0" w:color="auto"/>
            </w:tcBorders>
            <w:hideMark/>
          </w:tcPr>
          <w:p w14:paraId="2F4B2DE6"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285</w:t>
            </w:r>
          </w:p>
        </w:tc>
        <w:tc>
          <w:tcPr>
            <w:tcW w:w="2247" w:type="dxa"/>
            <w:tcBorders>
              <w:top w:val="single" w:sz="4" w:space="0" w:color="auto"/>
              <w:left w:val="single" w:sz="4" w:space="0" w:color="auto"/>
              <w:bottom w:val="single" w:sz="4" w:space="0" w:color="auto"/>
              <w:right w:val="single" w:sz="4" w:space="0" w:color="auto"/>
            </w:tcBorders>
            <w:hideMark/>
          </w:tcPr>
          <w:p w14:paraId="722CA346"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13</w:t>
            </w:r>
          </w:p>
        </w:tc>
        <w:tc>
          <w:tcPr>
            <w:tcW w:w="2217" w:type="dxa"/>
            <w:tcBorders>
              <w:top w:val="single" w:sz="4" w:space="0" w:color="auto"/>
              <w:left w:val="single" w:sz="4" w:space="0" w:color="auto"/>
              <w:bottom w:val="single" w:sz="4" w:space="0" w:color="auto"/>
              <w:right w:val="single" w:sz="4" w:space="0" w:color="auto"/>
            </w:tcBorders>
            <w:hideMark/>
          </w:tcPr>
          <w:p w14:paraId="3580A2A6" w14:textId="77777777" w:rsidR="00F95D69" w:rsidRPr="005974F0" w:rsidRDefault="00F95D69" w:rsidP="00F95D69">
            <w:pPr>
              <w:jc w:val="center"/>
              <w:rPr>
                <w:rFonts w:ascii="Times New Roman" w:hAnsi="Times New Roman" w:cs="Times New Roman"/>
                <w:lang w:val="en-GB"/>
              </w:rPr>
            </w:pPr>
            <w:r w:rsidRPr="005974F0">
              <w:rPr>
                <w:rFonts w:ascii="Times New Roman" w:hAnsi="Times New Roman" w:cs="Times New Roman"/>
                <w:lang w:val="en-GB"/>
              </w:rPr>
              <w:t>24.91%</w:t>
            </w:r>
          </w:p>
        </w:tc>
      </w:tr>
      <w:tr w:rsidR="00F95D69" w:rsidRPr="005974F0" w14:paraId="4D4469FA" w14:textId="77777777" w:rsidTr="00536EC3">
        <w:tc>
          <w:tcPr>
            <w:tcW w:w="2376" w:type="dxa"/>
            <w:tcBorders>
              <w:top w:val="single" w:sz="4" w:space="0" w:color="auto"/>
              <w:left w:val="single" w:sz="4" w:space="0" w:color="auto"/>
              <w:bottom w:val="single" w:sz="4" w:space="0" w:color="auto"/>
              <w:right w:val="single" w:sz="4" w:space="0" w:color="auto"/>
            </w:tcBorders>
            <w:hideMark/>
          </w:tcPr>
          <w:p w14:paraId="6A1B942E" w14:textId="794527F0" w:rsidR="00F95D69" w:rsidRPr="005974F0" w:rsidRDefault="00C0470D" w:rsidP="00F95D69">
            <w:pPr>
              <w:jc w:val="center"/>
              <w:rPr>
                <w:rFonts w:ascii="Times New Roman" w:hAnsi="Times New Roman" w:cs="Times New Roman"/>
                <w:i/>
                <w:iCs/>
                <w:lang w:val="en-GB"/>
              </w:rPr>
            </w:pPr>
            <w:r w:rsidRPr="005974F0">
              <w:rPr>
                <w:rFonts w:ascii="Times New Roman" w:hAnsi="Times New Roman" w:cs="Times New Roman"/>
                <w:i/>
                <w:iCs/>
                <w:lang w:val="en-GB"/>
              </w:rPr>
              <w:t>Total</w:t>
            </w:r>
          </w:p>
        </w:tc>
        <w:tc>
          <w:tcPr>
            <w:tcW w:w="2222" w:type="dxa"/>
            <w:tcBorders>
              <w:top w:val="single" w:sz="4" w:space="0" w:color="auto"/>
              <w:left w:val="single" w:sz="4" w:space="0" w:color="auto"/>
              <w:bottom w:val="single" w:sz="4" w:space="0" w:color="auto"/>
              <w:right w:val="single" w:sz="4" w:space="0" w:color="auto"/>
            </w:tcBorders>
            <w:hideMark/>
          </w:tcPr>
          <w:p w14:paraId="3F108BFE" w14:textId="77777777" w:rsidR="00F95D69" w:rsidRPr="005974F0" w:rsidRDefault="00F95D69" w:rsidP="00F95D69">
            <w:pPr>
              <w:jc w:val="center"/>
              <w:rPr>
                <w:rFonts w:ascii="Times New Roman" w:hAnsi="Times New Roman" w:cs="Times New Roman"/>
                <w:i/>
                <w:iCs/>
                <w:lang w:val="en-GB"/>
              </w:rPr>
            </w:pPr>
            <w:r w:rsidRPr="005974F0">
              <w:rPr>
                <w:rFonts w:ascii="Times New Roman" w:hAnsi="Times New Roman" w:cs="Times New Roman"/>
                <w:i/>
                <w:iCs/>
                <w:lang w:val="en-GB"/>
              </w:rPr>
              <w:t>811</w:t>
            </w:r>
          </w:p>
        </w:tc>
        <w:tc>
          <w:tcPr>
            <w:tcW w:w="2247" w:type="dxa"/>
            <w:tcBorders>
              <w:top w:val="single" w:sz="4" w:space="0" w:color="auto"/>
              <w:left w:val="single" w:sz="4" w:space="0" w:color="auto"/>
              <w:bottom w:val="single" w:sz="4" w:space="0" w:color="auto"/>
              <w:right w:val="single" w:sz="4" w:space="0" w:color="auto"/>
            </w:tcBorders>
            <w:hideMark/>
          </w:tcPr>
          <w:p w14:paraId="78D75C99" w14:textId="77777777" w:rsidR="00F95D69" w:rsidRPr="005974F0" w:rsidRDefault="00F95D69" w:rsidP="00F95D69">
            <w:pPr>
              <w:jc w:val="center"/>
              <w:rPr>
                <w:rFonts w:ascii="Times New Roman" w:hAnsi="Times New Roman" w:cs="Times New Roman"/>
                <w:i/>
                <w:iCs/>
                <w:lang w:val="en-GB"/>
              </w:rPr>
            </w:pPr>
            <w:r w:rsidRPr="005974F0">
              <w:rPr>
                <w:rFonts w:ascii="Times New Roman" w:hAnsi="Times New Roman" w:cs="Times New Roman"/>
                <w:i/>
                <w:iCs/>
                <w:lang w:val="en-GB"/>
              </w:rPr>
              <w:t>436</w:t>
            </w:r>
          </w:p>
        </w:tc>
        <w:tc>
          <w:tcPr>
            <w:tcW w:w="2217" w:type="dxa"/>
            <w:tcBorders>
              <w:top w:val="single" w:sz="4" w:space="0" w:color="auto"/>
              <w:left w:val="single" w:sz="4" w:space="0" w:color="auto"/>
              <w:bottom w:val="single" w:sz="4" w:space="0" w:color="auto"/>
              <w:right w:val="single" w:sz="4" w:space="0" w:color="auto"/>
            </w:tcBorders>
            <w:hideMark/>
          </w:tcPr>
          <w:p w14:paraId="790844CD" w14:textId="77777777" w:rsidR="00F95D69" w:rsidRPr="005974F0" w:rsidRDefault="00F95D69" w:rsidP="00F95D69">
            <w:pPr>
              <w:jc w:val="center"/>
              <w:rPr>
                <w:rFonts w:ascii="Times New Roman" w:hAnsi="Times New Roman" w:cs="Times New Roman"/>
                <w:i/>
                <w:iCs/>
                <w:lang w:val="en-GB"/>
              </w:rPr>
            </w:pPr>
            <w:r w:rsidRPr="005974F0">
              <w:rPr>
                <w:rFonts w:ascii="Times New Roman" w:hAnsi="Times New Roman" w:cs="Times New Roman"/>
                <w:i/>
                <w:iCs/>
                <w:lang w:val="en-GB"/>
              </w:rPr>
              <w:t>53.76%</w:t>
            </w:r>
          </w:p>
        </w:tc>
      </w:tr>
    </w:tbl>
    <w:p w14:paraId="0D9BDEE0" w14:textId="77777777" w:rsidR="005A1090" w:rsidRPr="005974F0" w:rsidRDefault="005A1090" w:rsidP="00F95D69">
      <w:pPr>
        <w:spacing w:after="0" w:line="240" w:lineRule="auto"/>
        <w:jc w:val="both"/>
        <w:rPr>
          <w:rFonts w:ascii="Times New Roman" w:hAnsi="Times New Roman" w:cs="Times New Roman"/>
          <w:b/>
          <w:bCs/>
          <w:lang w:val="en-GB"/>
        </w:rPr>
      </w:pPr>
    </w:p>
    <w:p w14:paraId="72DCA7E6" w14:textId="77777777" w:rsidR="00F95D69" w:rsidRPr="005974F0" w:rsidRDefault="00F95D69"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In terms of results, it can be said that a response rate of over 20% was achieved at both institutional and faculty level. In addition, the average number of course completions per faculty was 87 and the standard deviation per faculty was 113.</w:t>
      </w:r>
    </w:p>
    <w:p w14:paraId="6AACF824" w14:textId="77777777" w:rsidR="00F95D69" w:rsidRPr="005974F0" w:rsidRDefault="00F95D69" w:rsidP="00F95D69">
      <w:pPr>
        <w:spacing w:after="0" w:line="240" w:lineRule="auto"/>
        <w:jc w:val="both"/>
        <w:rPr>
          <w:rFonts w:ascii="Times New Roman" w:hAnsi="Times New Roman" w:cs="Times New Roman"/>
          <w:lang w:val="en-GB"/>
        </w:rPr>
      </w:pPr>
    </w:p>
    <w:p w14:paraId="7D79F005" w14:textId="49F2373F" w:rsidR="0020350B" w:rsidRPr="005974F0" w:rsidRDefault="0020350B" w:rsidP="0020350B">
      <w:pPr>
        <w:spacing w:after="0" w:line="240" w:lineRule="auto"/>
        <w:jc w:val="both"/>
        <w:rPr>
          <w:rFonts w:ascii="Times New Roman" w:hAnsi="Times New Roman" w:cs="Times New Roman"/>
          <w:lang w:val="en-GB"/>
        </w:rPr>
      </w:pPr>
      <w:r w:rsidRPr="005974F0">
        <w:rPr>
          <w:rFonts w:ascii="Times New Roman" w:hAnsi="Times New Roman" w:cs="Times New Roman"/>
          <w:lang w:val="en-GB"/>
        </w:rPr>
        <w:t xml:space="preserve">In the first question block, </w:t>
      </w:r>
      <w:r w:rsidR="00E169CF">
        <w:rPr>
          <w:rFonts w:ascii="Times New Roman" w:hAnsi="Times New Roman" w:cs="Times New Roman"/>
          <w:lang w:val="en-GB"/>
        </w:rPr>
        <w:t xml:space="preserve">which was in connection to the courses, </w:t>
      </w:r>
      <w:r w:rsidRPr="005974F0">
        <w:rPr>
          <w:rFonts w:ascii="Times New Roman" w:hAnsi="Times New Roman" w:cs="Times New Roman"/>
          <w:lang w:val="en-GB"/>
        </w:rPr>
        <w:t xml:space="preserve">we asked what type of course the respondent had been taught by the instructor </w:t>
      </w:r>
      <w:r w:rsidR="005974F0" w:rsidRPr="005974F0">
        <w:rPr>
          <w:rFonts w:ascii="Times New Roman" w:hAnsi="Times New Roman" w:cs="Times New Roman"/>
          <w:lang w:val="en-GB"/>
        </w:rPr>
        <w:t xml:space="preserve">featured </w:t>
      </w:r>
      <w:r w:rsidRPr="005974F0">
        <w:rPr>
          <w:rFonts w:ascii="Times New Roman" w:hAnsi="Times New Roman" w:cs="Times New Roman"/>
          <w:lang w:val="en-GB"/>
        </w:rPr>
        <w:t>in the survey</w:t>
      </w:r>
      <w:r w:rsidR="00F95D69" w:rsidRPr="005974F0">
        <w:rPr>
          <w:rFonts w:ascii="Times New Roman" w:hAnsi="Times New Roman" w:cs="Times New Roman"/>
          <w:lang w:val="en-GB"/>
        </w:rPr>
        <w:t xml:space="preserve">. This question was answered by 508 respondents, of which 79.13% were taught in lectures, 9.44% in practicals and 11.41% in seminars. Students were then asked whether they had attended at least 50% of the classes taught by the instructor. 466 students responded, 95.27% of whom answered yes. Those who answered no were mainly unable to attend at least 50% of the classes due to class conflicts, other reasons or work. The number of hours needed to learn the subject was considered sufficient by 75.38%, insufficient by 22.65% and too many by 1.96%. 68.70% </w:t>
      </w:r>
      <w:r w:rsidRPr="005974F0">
        <w:rPr>
          <w:rFonts w:ascii="Times New Roman" w:hAnsi="Times New Roman" w:cs="Times New Roman"/>
          <w:lang w:val="en-GB"/>
        </w:rPr>
        <w:t xml:space="preserve">of respondents working from home for the equivalent of a credit added the credit to the course. </w:t>
      </w:r>
    </w:p>
    <w:p w14:paraId="43B442C5" w14:textId="77777777" w:rsidR="00F95D69" w:rsidRPr="005974F0" w:rsidRDefault="00F95D69" w:rsidP="00F95D69">
      <w:pPr>
        <w:spacing w:after="0" w:line="240" w:lineRule="auto"/>
        <w:jc w:val="both"/>
        <w:rPr>
          <w:rFonts w:ascii="Times New Roman" w:hAnsi="Times New Roman" w:cs="Times New Roman"/>
          <w:lang w:val="en-GB"/>
        </w:rPr>
      </w:pPr>
    </w:p>
    <w:p w14:paraId="3CDA339A" w14:textId="08F7198D" w:rsidR="00F95D69" w:rsidRPr="005974F0" w:rsidRDefault="00F95D69"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The consistency between the number of hours of the course and the amount and mastery of the material was rated on average 4.63 on a six-point scale, while the contribution of the practice to the mastery of the material was rated slightly better,</w:t>
      </w:r>
      <w:r w:rsidR="0020350B" w:rsidRPr="005974F0">
        <w:rPr>
          <w:rFonts w:ascii="Times New Roman" w:hAnsi="Times New Roman" w:cs="Times New Roman"/>
          <w:lang w:val="en-GB"/>
        </w:rPr>
        <w:t xml:space="preserve"> 4.</w:t>
      </w:r>
      <w:r w:rsidRPr="005974F0">
        <w:rPr>
          <w:rFonts w:ascii="Times New Roman" w:hAnsi="Times New Roman" w:cs="Times New Roman"/>
          <w:lang w:val="en-GB"/>
        </w:rPr>
        <w:t xml:space="preserve">74. </w:t>
      </w:r>
      <w:r w:rsidR="00DA7405">
        <w:rPr>
          <w:rFonts w:ascii="Times New Roman" w:hAnsi="Times New Roman" w:cs="Times New Roman"/>
          <w:lang w:val="en-GB"/>
        </w:rPr>
        <w:t xml:space="preserve">In a </w:t>
      </w:r>
      <w:r w:rsidRPr="005974F0">
        <w:rPr>
          <w:rFonts w:ascii="Times New Roman" w:hAnsi="Times New Roman" w:cs="Times New Roman"/>
          <w:lang w:val="en-GB"/>
        </w:rPr>
        <w:t xml:space="preserve">block of questions on the instructor, the responses to the different aspects of the </w:t>
      </w:r>
      <w:r w:rsidR="00312740" w:rsidRPr="005974F0">
        <w:rPr>
          <w:rFonts w:ascii="Times New Roman" w:hAnsi="Times New Roman" w:cs="Times New Roman"/>
          <w:lang w:val="en-GB"/>
        </w:rPr>
        <w:t>survey</w:t>
      </w:r>
      <w:r w:rsidRPr="005974F0">
        <w:rPr>
          <w:rFonts w:ascii="Times New Roman" w:hAnsi="Times New Roman" w:cs="Times New Roman"/>
          <w:lang w:val="en-GB"/>
        </w:rPr>
        <w:t xml:space="preserve"> generally indicate that respondents are satisfied with the instructors at the institution</w:t>
      </w:r>
      <w:r w:rsidR="00DA7405">
        <w:rPr>
          <w:rFonts w:ascii="Times New Roman" w:hAnsi="Times New Roman" w:cs="Times New Roman"/>
          <w:lang w:val="en-GB"/>
        </w:rPr>
        <w:t>s</w:t>
      </w:r>
      <w:r w:rsidRPr="005974F0">
        <w:rPr>
          <w:rFonts w:ascii="Times New Roman" w:hAnsi="Times New Roman" w:cs="Times New Roman"/>
          <w:lang w:val="en-GB"/>
        </w:rPr>
        <w:t>, with an average score of 5.15 for the different questions on the six-point scale. The highest rating within the set of questions was given to the question on the instructor's teaching (communication, logic, comprehensibility, followability) with an average score of 5.47.</w:t>
      </w:r>
    </w:p>
    <w:p w14:paraId="0D9391F6" w14:textId="77777777" w:rsidR="00F95D69" w:rsidRPr="005974F0" w:rsidRDefault="00F95D69" w:rsidP="00F95D69">
      <w:pPr>
        <w:spacing w:after="0" w:line="240" w:lineRule="auto"/>
        <w:jc w:val="both"/>
        <w:rPr>
          <w:rFonts w:ascii="Times New Roman" w:hAnsi="Times New Roman" w:cs="Times New Roman"/>
          <w:lang w:val="en-GB"/>
        </w:rPr>
      </w:pPr>
    </w:p>
    <w:p w14:paraId="5104F3FA" w14:textId="0A9BF757" w:rsidR="00AD302A" w:rsidRPr="005974F0" w:rsidRDefault="00F95D69"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 xml:space="preserve">Regarding the examination system, students were asked the question </w:t>
      </w:r>
      <w:r w:rsidRPr="005974F0">
        <w:rPr>
          <w:rFonts w:ascii="Times New Roman" w:hAnsi="Times New Roman" w:cs="Times New Roman"/>
          <w:i/>
          <w:iCs/>
          <w:lang w:val="en-GB"/>
        </w:rPr>
        <w:t>"How fair and in line with the knowledge provided was the examination?</w:t>
      </w:r>
      <w:r w:rsidRPr="005974F0">
        <w:rPr>
          <w:rFonts w:ascii="Times New Roman" w:hAnsi="Times New Roman" w:cs="Times New Roman"/>
          <w:lang w:val="en-GB"/>
        </w:rPr>
        <w:t xml:space="preserve">" to which 497 answers were received. 63.38% said it was completely fair and consistent, 4.62% said not at all. The </w:t>
      </w:r>
      <w:r w:rsidR="00312740" w:rsidRPr="005974F0">
        <w:rPr>
          <w:rFonts w:ascii="Times New Roman" w:hAnsi="Times New Roman" w:cs="Times New Roman"/>
          <w:lang w:val="en-GB"/>
        </w:rPr>
        <w:t>survey</w:t>
      </w:r>
      <w:r w:rsidRPr="005974F0">
        <w:rPr>
          <w:rFonts w:ascii="Times New Roman" w:hAnsi="Times New Roman" w:cs="Times New Roman"/>
          <w:lang w:val="en-GB"/>
        </w:rPr>
        <w:t xml:space="preserve"> also included a block of questions on dual training, which showed that only 10.56% of respondents were involved</w:t>
      </w:r>
      <w:r w:rsidR="00AD302A" w:rsidRPr="005974F0">
        <w:rPr>
          <w:rFonts w:ascii="Times New Roman" w:hAnsi="Times New Roman" w:cs="Times New Roman"/>
          <w:lang w:val="en-GB"/>
        </w:rPr>
        <w:t xml:space="preserve"> in that form of training</w:t>
      </w:r>
      <w:r w:rsidRPr="005974F0">
        <w:rPr>
          <w:rFonts w:ascii="Times New Roman" w:hAnsi="Times New Roman" w:cs="Times New Roman"/>
          <w:lang w:val="en-GB"/>
        </w:rPr>
        <w:t xml:space="preserve">. In response to the question </w:t>
      </w:r>
      <w:r w:rsidRPr="005974F0">
        <w:rPr>
          <w:rFonts w:ascii="Times New Roman" w:hAnsi="Times New Roman" w:cs="Times New Roman"/>
          <w:i/>
          <w:iCs/>
          <w:lang w:val="en-GB"/>
        </w:rPr>
        <w:t>"To what extent have you been able to use the practical skills acquired in the company during your training/course?"</w:t>
      </w:r>
      <w:r w:rsidRPr="005974F0">
        <w:rPr>
          <w:rFonts w:ascii="Times New Roman" w:hAnsi="Times New Roman" w:cs="Times New Roman"/>
          <w:lang w:val="en-GB"/>
        </w:rPr>
        <w:t xml:space="preserve"> 48 respondents replied</w:t>
      </w:r>
      <w:r w:rsidR="00AD302A" w:rsidRPr="005974F0">
        <w:rPr>
          <w:rFonts w:ascii="Times New Roman" w:hAnsi="Times New Roman" w:cs="Times New Roman"/>
          <w:lang w:val="en-GB"/>
        </w:rPr>
        <w:t>:</w:t>
      </w:r>
      <w:r w:rsidRPr="005974F0">
        <w:rPr>
          <w:rFonts w:ascii="Times New Roman" w:hAnsi="Times New Roman" w:cs="Times New Roman"/>
          <w:lang w:val="en-GB"/>
        </w:rPr>
        <w:t xml:space="preserve"> 12.5% of the respondents answered that they had been able to make full use of the practical skills acquired in the company, while 10.41% had not been able to make </w:t>
      </w:r>
      <w:r w:rsidRPr="005974F0">
        <w:rPr>
          <w:rFonts w:ascii="Times New Roman" w:hAnsi="Times New Roman" w:cs="Times New Roman"/>
          <w:lang w:val="en-GB"/>
        </w:rPr>
        <w:lastRenderedPageBreak/>
        <w:t xml:space="preserve">any use of them at all. The question </w:t>
      </w:r>
      <w:r w:rsidRPr="005974F0">
        <w:rPr>
          <w:rFonts w:ascii="Times New Roman" w:hAnsi="Times New Roman" w:cs="Times New Roman"/>
          <w:i/>
          <w:iCs/>
          <w:lang w:val="en-GB"/>
        </w:rPr>
        <w:t>"To what extent were you able to apply the knowledge acquired in the course to your work in the company?"</w:t>
      </w:r>
      <w:r w:rsidRPr="005974F0">
        <w:rPr>
          <w:rFonts w:ascii="Times New Roman" w:hAnsi="Times New Roman" w:cs="Times New Roman"/>
          <w:lang w:val="en-GB"/>
        </w:rPr>
        <w:t xml:space="preserve"> was answered by 47 students in dual training. 12.76% of the respondents were able to apply the knowledge acquired in their company to a full extent and 10.63% were not able to apply it at all. </w:t>
      </w:r>
    </w:p>
    <w:p w14:paraId="04F8E72F" w14:textId="77777777" w:rsidR="00AD302A" w:rsidRPr="005974F0" w:rsidRDefault="00AD302A" w:rsidP="00F95D69">
      <w:pPr>
        <w:spacing w:after="0" w:line="240" w:lineRule="auto"/>
        <w:jc w:val="both"/>
        <w:rPr>
          <w:rFonts w:ascii="Times New Roman" w:hAnsi="Times New Roman" w:cs="Times New Roman"/>
          <w:lang w:val="en-GB"/>
        </w:rPr>
      </w:pPr>
    </w:p>
    <w:p w14:paraId="14806A57" w14:textId="4610938A" w:rsidR="00F95D69" w:rsidRPr="005974F0" w:rsidRDefault="00F95D69"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The processing of the text responses received is part of the faculty and instructor evaluations and no relevant conclusions can be drawn from their aggregation at institutional level.</w:t>
      </w:r>
    </w:p>
    <w:p w14:paraId="215E7A4F" w14:textId="77777777" w:rsidR="00F95D69" w:rsidRPr="005974F0" w:rsidRDefault="00F95D69" w:rsidP="00F95D69">
      <w:pPr>
        <w:spacing w:after="0" w:line="240" w:lineRule="auto"/>
        <w:jc w:val="both"/>
        <w:rPr>
          <w:rFonts w:ascii="Times New Roman" w:hAnsi="Times New Roman" w:cs="Times New Roman"/>
          <w:lang w:val="en-GB"/>
        </w:rPr>
      </w:pPr>
    </w:p>
    <w:p w14:paraId="067D2FD1" w14:textId="77777777" w:rsidR="00F95D69" w:rsidRDefault="00F95D69"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Experience from the pilot survey:</w:t>
      </w:r>
    </w:p>
    <w:p w14:paraId="48D26B43" w14:textId="77777777" w:rsidR="003C061D" w:rsidRPr="005974F0" w:rsidRDefault="003C061D" w:rsidP="00F95D69">
      <w:pPr>
        <w:spacing w:after="0" w:line="240" w:lineRule="auto"/>
        <w:jc w:val="both"/>
        <w:rPr>
          <w:rFonts w:ascii="Times New Roman" w:hAnsi="Times New Roman" w:cs="Times New Roman"/>
          <w:lang w:val="en-GB"/>
        </w:rPr>
      </w:pPr>
    </w:p>
    <w:p w14:paraId="0BA01509" w14:textId="7C01143E" w:rsidR="00F95D69" w:rsidRPr="005974F0" w:rsidRDefault="00F95D69"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 xml:space="preserve">- </w:t>
      </w:r>
      <w:r w:rsidR="00AD302A" w:rsidRPr="005974F0">
        <w:rPr>
          <w:rFonts w:ascii="Times New Roman" w:hAnsi="Times New Roman" w:cs="Times New Roman"/>
          <w:lang w:val="en-GB"/>
        </w:rPr>
        <w:t>T</w:t>
      </w:r>
      <w:r w:rsidRPr="005974F0">
        <w:rPr>
          <w:rFonts w:ascii="Times New Roman" w:hAnsi="Times New Roman" w:cs="Times New Roman"/>
          <w:lang w:val="en-GB"/>
        </w:rPr>
        <w:t>he launch of surveys is much faster, however</w:t>
      </w:r>
      <w:r w:rsidR="00AD302A" w:rsidRPr="005974F0">
        <w:rPr>
          <w:rFonts w:ascii="Times New Roman" w:hAnsi="Times New Roman" w:cs="Times New Roman"/>
          <w:lang w:val="en-GB"/>
        </w:rPr>
        <w:t>:</w:t>
      </w:r>
    </w:p>
    <w:p w14:paraId="17539EEA" w14:textId="3BE6F63C" w:rsidR="00F95D69" w:rsidRPr="005974F0" w:rsidRDefault="00F95D69"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 xml:space="preserve">- </w:t>
      </w:r>
      <w:r w:rsidR="00AD302A" w:rsidRPr="005974F0">
        <w:rPr>
          <w:rFonts w:ascii="Times New Roman" w:hAnsi="Times New Roman" w:cs="Times New Roman"/>
          <w:lang w:val="en-GB"/>
        </w:rPr>
        <w:t>I</w:t>
      </w:r>
      <w:r w:rsidRPr="005974F0">
        <w:rPr>
          <w:rFonts w:ascii="Times New Roman" w:hAnsi="Times New Roman" w:cs="Times New Roman"/>
          <w:lang w:val="en-GB"/>
        </w:rPr>
        <w:t xml:space="preserve">f a change is needed in the survey or </w:t>
      </w:r>
      <w:r w:rsidR="00AD302A" w:rsidRPr="005974F0">
        <w:rPr>
          <w:rFonts w:ascii="Times New Roman" w:hAnsi="Times New Roman" w:cs="Times New Roman"/>
          <w:lang w:val="en-GB"/>
        </w:rPr>
        <w:t>questionnaire</w:t>
      </w:r>
      <w:r w:rsidRPr="005974F0">
        <w:rPr>
          <w:rFonts w:ascii="Times New Roman" w:hAnsi="Times New Roman" w:cs="Times New Roman"/>
          <w:lang w:val="en-GB"/>
        </w:rPr>
        <w:t xml:space="preserve">, the survey </w:t>
      </w:r>
      <w:r w:rsidR="00DA7405" w:rsidRPr="005974F0">
        <w:rPr>
          <w:rFonts w:ascii="Times New Roman" w:hAnsi="Times New Roman" w:cs="Times New Roman"/>
          <w:lang w:val="en-GB"/>
        </w:rPr>
        <w:t>must</w:t>
      </w:r>
      <w:r w:rsidRPr="005974F0">
        <w:rPr>
          <w:rFonts w:ascii="Times New Roman" w:hAnsi="Times New Roman" w:cs="Times New Roman"/>
          <w:lang w:val="en-GB"/>
        </w:rPr>
        <w:t xml:space="preserve"> be stopped and data can </w:t>
      </w:r>
      <w:r w:rsidR="00AD302A" w:rsidRPr="005974F0">
        <w:rPr>
          <w:rFonts w:ascii="Times New Roman" w:hAnsi="Times New Roman" w:cs="Times New Roman"/>
          <w:lang w:val="en-GB"/>
        </w:rPr>
        <w:t>only be collected</w:t>
      </w:r>
      <w:r w:rsidRPr="005974F0">
        <w:rPr>
          <w:rFonts w:ascii="Times New Roman" w:hAnsi="Times New Roman" w:cs="Times New Roman"/>
          <w:lang w:val="en-GB"/>
        </w:rPr>
        <w:t xml:space="preserve"> again after the </w:t>
      </w:r>
      <w:r w:rsidR="00DA7405">
        <w:rPr>
          <w:rFonts w:ascii="Times New Roman" w:hAnsi="Times New Roman" w:cs="Times New Roman"/>
          <w:lang w:val="en-GB"/>
        </w:rPr>
        <w:t>amendments</w:t>
      </w:r>
      <w:r w:rsidRPr="005974F0">
        <w:rPr>
          <w:rFonts w:ascii="Times New Roman" w:hAnsi="Times New Roman" w:cs="Times New Roman"/>
          <w:lang w:val="en-GB"/>
        </w:rPr>
        <w:t xml:space="preserve">, which is </w:t>
      </w:r>
      <w:r w:rsidR="00AD302A" w:rsidRPr="005974F0">
        <w:rPr>
          <w:rFonts w:ascii="Times New Roman" w:hAnsi="Times New Roman" w:cs="Times New Roman"/>
          <w:lang w:val="en-GB"/>
        </w:rPr>
        <w:t>then</w:t>
      </w:r>
      <w:r w:rsidR="00DA7405">
        <w:rPr>
          <w:rFonts w:ascii="Times New Roman" w:hAnsi="Times New Roman" w:cs="Times New Roman"/>
          <w:lang w:val="en-GB"/>
        </w:rPr>
        <w:t xml:space="preserve"> </w:t>
      </w:r>
      <w:r w:rsidRPr="005974F0">
        <w:rPr>
          <w:rFonts w:ascii="Times New Roman" w:hAnsi="Times New Roman" w:cs="Times New Roman"/>
          <w:lang w:val="en-GB"/>
        </w:rPr>
        <w:t>treated as a separate survey</w:t>
      </w:r>
      <w:r w:rsidR="00DA7405">
        <w:rPr>
          <w:rFonts w:ascii="Times New Roman" w:hAnsi="Times New Roman" w:cs="Times New Roman"/>
          <w:lang w:val="en-GB"/>
        </w:rPr>
        <w:t xml:space="preserve"> by the system</w:t>
      </w:r>
      <w:r w:rsidRPr="005974F0">
        <w:rPr>
          <w:rFonts w:ascii="Times New Roman" w:hAnsi="Times New Roman" w:cs="Times New Roman"/>
          <w:lang w:val="en-GB"/>
        </w:rPr>
        <w:t>.</w:t>
      </w:r>
    </w:p>
    <w:p w14:paraId="7E0423A9" w14:textId="77777777" w:rsidR="00F95D69" w:rsidRPr="005974F0" w:rsidRDefault="00F95D69"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 Automatic scheduled messaging, survey reminders cannot be sent.</w:t>
      </w:r>
    </w:p>
    <w:p w14:paraId="7FD9147C" w14:textId="2061F634" w:rsidR="00F95D69" w:rsidRPr="005974F0" w:rsidRDefault="00F95D69"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 xml:space="preserve">- The number of surveys started, </w:t>
      </w:r>
      <w:r w:rsidR="00AD302A" w:rsidRPr="005974F0">
        <w:rPr>
          <w:rFonts w:ascii="Times New Roman" w:hAnsi="Times New Roman" w:cs="Times New Roman"/>
          <w:lang w:val="en-GB"/>
        </w:rPr>
        <w:t xml:space="preserve">but </w:t>
      </w:r>
      <w:r w:rsidRPr="005974F0">
        <w:rPr>
          <w:rFonts w:ascii="Times New Roman" w:hAnsi="Times New Roman" w:cs="Times New Roman"/>
          <w:lang w:val="en-GB"/>
        </w:rPr>
        <w:t>not completed or unanswered is high.</w:t>
      </w:r>
    </w:p>
    <w:p w14:paraId="45F3D042" w14:textId="77777777" w:rsidR="00F95D69" w:rsidRPr="005974F0" w:rsidRDefault="00F95D69"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 The evaluation is based on an excel file.</w:t>
      </w:r>
    </w:p>
    <w:p w14:paraId="6ABD852E" w14:textId="77777777" w:rsidR="00F95D69" w:rsidRPr="005974F0" w:rsidRDefault="00F95D69" w:rsidP="00F95D69">
      <w:pPr>
        <w:spacing w:after="0" w:line="240" w:lineRule="auto"/>
        <w:jc w:val="both"/>
        <w:rPr>
          <w:rFonts w:ascii="Times New Roman" w:hAnsi="Times New Roman" w:cs="Times New Roman"/>
          <w:lang w:val="en-GB"/>
        </w:rPr>
      </w:pPr>
    </w:p>
    <w:p w14:paraId="6F6F9D1D" w14:textId="6C31A0BC" w:rsidR="00F95D69" w:rsidRPr="005974F0" w:rsidRDefault="00F95D69" w:rsidP="00F95D69">
      <w:pPr>
        <w:spacing w:after="0" w:line="240" w:lineRule="auto"/>
        <w:jc w:val="both"/>
        <w:rPr>
          <w:rFonts w:ascii="Times New Roman" w:hAnsi="Times New Roman" w:cs="Times New Roman"/>
          <w:lang w:val="en-GB"/>
        </w:rPr>
      </w:pPr>
      <w:r w:rsidRPr="005974F0">
        <w:rPr>
          <w:rFonts w:ascii="Times New Roman" w:hAnsi="Times New Roman" w:cs="Times New Roman"/>
          <w:lang w:val="en-GB"/>
        </w:rPr>
        <w:t>This analysis was made by Bence Máté Csabai, amended and approved by Éva Ligetvári.</w:t>
      </w:r>
    </w:p>
    <w:p w14:paraId="620F780B" w14:textId="77777777" w:rsidR="00F95D69" w:rsidRPr="005974F0" w:rsidRDefault="00F95D69" w:rsidP="00F95D69">
      <w:pPr>
        <w:spacing w:after="0" w:line="240" w:lineRule="auto"/>
        <w:jc w:val="both"/>
        <w:rPr>
          <w:rFonts w:ascii="Times New Roman" w:hAnsi="Times New Roman" w:cs="Times New Roman"/>
          <w:lang w:val="en-GB"/>
        </w:rPr>
      </w:pPr>
    </w:p>
    <w:sectPr w:rsidR="00F95D69" w:rsidRPr="00597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90"/>
    <w:rsid w:val="000D2AC2"/>
    <w:rsid w:val="001525EC"/>
    <w:rsid w:val="001F47C6"/>
    <w:rsid w:val="0020350B"/>
    <w:rsid w:val="00312740"/>
    <w:rsid w:val="003C061D"/>
    <w:rsid w:val="00412EED"/>
    <w:rsid w:val="005204B7"/>
    <w:rsid w:val="00523A85"/>
    <w:rsid w:val="00585FAC"/>
    <w:rsid w:val="005974F0"/>
    <w:rsid w:val="005A1090"/>
    <w:rsid w:val="005F230C"/>
    <w:rsid w:val="00635947"/>
    <w:rsid w:val="00AC032D"/>
    <w:rsid w:val="00AD302A"/>
    <w:rsid w:val="00AD5704"/>
    <w:rsid w:val="00AE31BC"/>
    <w:rsid w:val="00B66872"/>
    <w:rsid w:val="00C0470D"/>
    <w:rsid w:val="00CD5287"/>
    <w:rsid w:val="00D02699"/>
    <w:rsid w:val="00D80D9B"/>
    <w:rsid w:val="00DA7405"/>
    <w:rsid w:val="00E169CF"/>
    <w:rsid w:val="00F93A6E"/>
    <w:rsid w:val="00F95D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64BB"/>
  <w15:chartTrackingRefBased/>
  <w15:docId w15:val="{8FC2994C-C74D-41CD-9662-445547AC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A1090"/>
  </w:style>
  <w:style w:type="paragraph" w:styleId="Cmsor1">
    <w:name w:val="heading 1"/>
    <w:basedOn w:val="Norml"/>
    <w:next w:val="Norml"/>
    <w:link w:val="Cmsor1Char"/>
    <w:uiPriority w:val="9"/>
    <w:qFormat/>
    <w:rsid w:val="005A1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A1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A109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A109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A109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A109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A109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A109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A109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A109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A109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A109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A109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A109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A109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A109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A109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A1090"/>
    <w:rPr>
      <w:rFonts w:eastAsiaTheme="majorEastAsia" w:cstheme="majorBidi"/>
      <w:color w:val="272727" w:themeColor="text1" w:themeTint="D8"/>
    </w:rPr>
  </w:style>
  <w:style w:type="paragraph" w:styleId="Cm">
    <w:name w:val="Title"/>
    <w:basedOn w:val="Norml"/>
    <w:next w:val="Norml"/>
    <w:link w:val="CmChar"/>
    <w:uiPriority w:val="10"/>
    <w:qFormat/>
    <w:rsid w:val="005A1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A109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A109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A109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A1090"/>
    <w:pPr>
      <w:spacing w:before="160"/>
      <w:jc w:val="center"/>
    </w:pPr>
    <w:rPr>
      <w:i/>
      <w:iCs/>
      <w:color w:val="404040" w:themeColor="text1" w:themeTint="BF"/>
    </w:rPr>
  </w:style>
  <w:style w:type="character" w:customStyle="1" w:styleId="IdzetChar">
    <w:name w:val="Idézet Char"/>
    <w:basedOn w:val="Bekezdsalapbettpusa"/>
    <w:link w:val="Idzet"/>
    <w:uiPriority w:val="29"/>
    <w:rsid w:val="005A1090"/>
    <w:rPr>
      <w:i/>
      <w:iCs/>
      <w:color w:val="404040" w:themeColor="text1" w:themeTint="BF"/>
    </w:rPr>
  </w:style>
  <w:style w:type="paragraph" w:styleId="Listaszerbekezds">
    <w:name w:val="List Paragraph"/>
    <w:basedOn w:val="Norml"/>
    <w:uiPriority w:val="34"/>
    <w:qFormat/>
    <w:rsid w:val="005A1090"/>
    <w:pPr>
      <w:ind w:left="720"/>
      <w:contextualSpacing/>
    </w:pPr>
  </w:style>
  <w:style w:type="character" w:styleId="Erskiemels">
    <w:name w:val="Intense Emphasis"/>
    <w:basedOn w:val="Bekezdsalapbettpusa"/>
    <w:uiPriority w:val="21"/>
    <w:qFormat/>
    <w:rsid w:val="005A1090"/>
    <w:rPr>
      <w:i/>
      <w:iCs/>
      <w:color w:val="0F4761" w:themeColor="accent1" w:themeShade="BF"/>
    </w:rPr>
  </w:style>
  <w:style w:type="paragraph" w:styleId="Kiemeltidzet">
    <w:name w:val="Intense Quote"/>
    <w:basedOn w:val="Norml"/>
    <w:next w:val="Norml"/>
    <w:link w:val="KiemeltidzetChar"/>
    <w:uiPriority w:val="30"/>
    <w:qFormat/>
    <w:rsid w:val="005A1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A1090"/>
    <w:rPr>
      <w:i/>
      <w:iCs/>
      <w:color w:val="0F4761" w:themeColor="accent1" w:themeShade="BF"/>
    </w:rPr>
  </w:style>
  <w:style w:type="character" w:styleId="Ershivatkozs">
    <w:name w:val="Intense Reference"/>
    <w:basedOn w:val="Bekezdsalapbettpusa"/>
    <w:uiPriority w:val="32"/>
    <w:qFormat/>
    <w:rsid w:val="005A1090"/>
    <w:rPr>
      <w:b/>
      <w:bCs/>
      <w:smallCaps/>
      <w:color w:val="0F4761" w:themeColor="accent1" w:themeShade="BF"/>
      <w:spacing w:val="5"/>
    </w:rPr>
  </w:style>
  <w:style w:type="table" w:styleId="Rcsostblzat">
    <w:name w:val="Table Grid"/>
    <w:basedOn w:val="Normltblzat"/>
    <w:uiPriority w:val="39"/>
    <w:rsid w:val="00F95D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F93A6E"/>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customStyle="1" w:styleId="normaltextrun">
    <w:name w:val="normaltextrun"/>
    <w:basedOn w:val="Bekezdsalapbettpusa"/>
    <w:rsid w:val="0059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448281">
      <w:bodyDiv w:val="1"/>
      <w:marLeft w:val="0"/>
      <w:marRight w:val="0"/>
      <w:marTop w:val="0"/>
      <w:marBottom w:val="0"/>
      <w:divBdr>
        <w:top w:val="none" w:sz="0" w:space="0" w:color="auto"/>
        <w:left w:val="none" w:sz="0" w:space="0" w:color="auto"/>
        <w:bottom w:val="none" w:sz="0" w:space="0" w:color="auto"/>
        <w:right w:val="none" w:sz="0" w:space="0" w:color="auto"/>
      </w:divBdr>
    </w:div>
    <w:div w:id="1019887963">
      <w:bodyDiv w:val="1"/>
      <w:marLeft w:val="0"/>
      <w:marRight w:val="0"/>
      <w:marTop w:val="0"/>
      <w:marBottom w:val="0"/>
      <w:divBdr>
        <w:top w:val="none" w:sz="0" w:space="0" w:color="auto"/>
        <w:left w:val="none" w:sz="0" w:space="0" w:color="auto"/>
        <w:bottom w:val="none" w:sz="0" w:space="0" w:color="auto"/>
        <w:right w:val="none" w:sz="0" w:space="0" w:color="auto"/>
      </w:divBdr>
    </w:div>
    <w:div w:id="18903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828688888015116E-2"/>
          <c:y val="0.13719178391642736"/>
          <c:w val="0.95367705939430825"/>
          <c:h val="0.83862575046568988"/>
        </c:manualLayout>
      </c:layout>
      <c:barChart>
        <c:barDir val="bar"/>
        <c:grouping val="percentStacked"/>
        <c:varyColors val="0"/>
        <c:ser>
          <c:idx val="0"/>
          <c:order val="0"/>
          <c:tx>
            <c:strRef>
              <c:f>Kimutatás!$C$29</c:f>
              <c:strCache>
                <c:ptCount val="1"/>
                <c:pt idx="0">
                  <c:v>Completed</c:v>
                </c:pt>
              </c:strCache>
            </c:strRef>
          </c:tx>
          <c:spPr>
            <a:solidFill>
              <a:srgbClr val="00FF00">
                <a:alpha val="50196"/>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Kimutatás!$A$30:$A$34</c:f>
              <c:numCache>
                <c:formatCode>General</c:formatCode>
                <c:ptCount val="5"/>
              </c:numCache>
              <c:extLst/>
            </c:numRef>
          </c:cat>
          <c:val>
            <c:numRef>
              <c:f>Kimutatás!$C$30:$C$34</c:f>
              <c:numCache>
                <c:formatCode>General</c:formatCode>
                <c:ptCount val="5"/>
                <c:pt idx="0">
                  <c:v>26</c:v>
                </c:pt>
                <c:pt idx="1">
                  <c:v>7</c:v>
                </c:pt>
                <c:pt idx="2">
                  <c:v>23</c:v>
                </c:pt>
                <c:pt idx="3">
                  <c:v>309</c:v>
                </c:pt>
                <c:pt idx="4">
                  <c:v>71</c:v>
                </c:pt>
              </c:numCache>
              <c:extLst/>
            </c:numRef>
          </c:val>
          <c:extLst>
            <c:ext xmlns:c16="http://schemas.microsoft.com/office/drawing/2014/chart" uri="{C3380CC4-5D6E-409C-BE32-E72D297353CC}">
              <c16:uniqueId val="{00000000-B515-48DC-95AC-66DFC73B3A14}"/>
            </c:ext>
          </c:extLst>
        </c:ser>
        <c:ser>
          <c:idx val="2"/>
          <c:order val="1"/>
          <c:tx>
            <c:strRef>
              <c:f>Kimutatás!$D$29</c:f>
              <c:strCache>
                <c:ptCount val="1"/>
                <c:pt idx="0">
                  <c:v>Partially Completed</c:v>
                </c:pt>
              </c:strCache>
            </c:strRef>
          </c:tx>
          <c:spPr>
            <a:solidFill>
              <a:srgbClr val="FFFF00">
                <a:alpha val="50196"/>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extLst>
                <c:ext xmlns:c15="http://schemas.microsoft.com/office/drawing/2012/chart" uri="{02D57815-91ED-43cb-92C2-25804820EDAC}">
                  <c15:autoCat val="1"/>
                </c:ext>
              </c:extLst>
            </c:strLit>
          </c:cat>
          <c:val>
            <c:numRef>
              <c:f>Kimutatás!$D$30:$D$34</c:f>
              <c:numCache>
                <c:formatCode>General</c:formatCode>
                <c:ptCount val="5"/>
                <c:pt idx="0">
                  <c:v>6</c:v>
                </c:pt>
                <c:pt idx="1">
                  <c:v>1</c:v>
                </c:pt>
                <c:pt idx="2">
                  <c:v>11</c:v>
                </c:pt>
                <c:pt idx="3">
                  <c:v>88</c:v>
                </c:pt>
                <c:pt idx="4">
                  <c:v>13</c:v>
                </c:pt>
              </c:numCache>
              <c:extLst/>
            </c:numRef>
          </c:val>
          <c:extLst>
            <c:ext xmlns:c16="http://schemas.microsoft.com/office/drawing/2014/chart" uri="{C3380CC4-5D6E-409C-BE32-E72D297353CC}">
              <c16:uniqueId val="{00000001-B515-48DC-95AC-66DFC73B3A14}"/>
            </c:ext>
          </c:extLst>
        </c:ser>
        <c:ser>
          <c:idx val="1"/>
          <c:order val="2"/>
          <c:tx>
            <c:strRef>
              <c:f>Kimutatás!$E$29</c:f>
              <c:strCache>
                <c:ptCount val="1"/>
                <c:pt idx="0">
                  <c:v>Incomplete</c:v>
                </c:pt>
              </c:strCache>
            </c:strRef>
          </c:tx>
          <c:spPr>
            <a:solidFill>
              <a:srgbClr val="FF0000">
                <a:alpha val="50196"/>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Kimutatás!$A$30:$A$34</c:f>
              <c:numCache>
                <c:formatCode>General</c:formatCode>
                <c:ptCount val="5"/>
              </c:numCache>
              <c:extLst/>
            </c:numRef>
          </c:cat>
          <c:val>
            <c:numRef>
              <c:f>Kimutatás!$E$30:$E$34</c:f>
              <c:numCache>
                <c:formatCode>General</c:formatCode>
                <c:ptCount val="5"/>
                <c:pt idx="0">
                  <c:v>24</c:v>
                </c:pt>
                <c:pt idx="1">
                  <c:v>5</c:v>
                </c:pt>
                <c:pt idx="2">
                  <c:v>20</c:v>
                </c:pt>
                <c:pt idx="3">
                  <c:v>4</c:v>
                </c:pt>
                <c:pt idx="4">
                  <c:v>201</c:v>
                </c:pt>
              </c:numCache>
              <c:extLst/>
            </c:numRef>
          </c:val>
          <c:extLst>
            <c:ext xmlns:c16="http://schemas.microsoft.com/office/drawing/2014/chart" uri="{C3380CC4-5D6E-409C-BE32-E72D297353CC}">
              <c16:uniqueId val="{00000002-B515-48DC-95AC-66DFC73B3A14}"/>
            </c:ext>
          </c:extLst>
        </c:ser>
        <c:dLbls>
          <c:showLegendKey val="0"/>
          <c:showVal val="0"/>
          <c:showCatName val="0"/>
          <c:showSerName val="0"/>
          <c:showPercent val="0"/>
          <c:showBubbleSize val="0"/>
        </c:dLbls>
        <c:gapWidth val="150"/>
        <c:overlap val="100"/>
        <c:axId val="851318096"/>
        <c:axId val="851320976"/>
      </c:barChart>
      <c:catAx>
        <c:axId val="851318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51320976"/>
        <c:crossesAt val="25"/>
        <c:auto val="1"/>
        <c:lblAlgn val="ctr"/>
        <c:lblOffset val="100"/>
        <c:noMultiLvlLbl val="0"/>
      </c:catAx>
      <c:valAx>
        <c:axId val="85132097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0" cap="flat" cmpd="sng" algn="ctr">
              <a:solidFill>
                <a:schemeClr val="tx1">
                  <a:lumMod val="5000"/>
                  <a:lumOff val="95000"/>
                </a:schemeClr>
              </a:solidFill>
              <a:round/>
            </a:ln>
            <a:effectLst/>
          </c:spPr>
        </c:minorGridlines>
        <c:numFmt formatCode="0%" sourceLinked="1"/>
        <c:majorTickMark val="none"/>
        <c:minorTickMark val="none"/>
        <c:tickLblPos val="nextTo"/>
        <c:spPr>
          <a:noFill/>
          <a:ln>
            <a:solidFill>
              <a:schemeClr val="tx1">
                <a:lumMod val="5000"/>
                <a:lumOff val="9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51318096"/>
        <c:crosses val="autoZero"/>
        <c:crossBetween val="between"/>
      </c:valAx>
      <c:spPr>
        <a:noFill/>
        <a:ln cap="flat">
          <a:solidFill>
            <a:schemeClr val="accent1"/>
          </a:solidFill>
          <a:round/>
        </a:ln>
        <a:effectLst/>
      </c:spPr>
    </c:plotArea>
    <c:legend>
      <c:legendPos val="b"/>
      <c:layout>
        <c:manualLayout>
          <c:xMode val="edge"/>
          <c:yMode val="edge"/>
          <c:x val="0.17426328653362771"/>
          <c:y val="0.89011600669417434"/>
          <c:w val="0.64433352080989881"/>
          <c:h val="5.20823739102391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0.32712</cdr:x>
      <cdr:y>0.25959</cdr:y>
    </cdr:from>
    <cdr:to>
      <cdr:x>0.75086</cdr:x>
      <cdr:y>0.29336</cdr:y>
    </cdr:to>
    <cdr:sp macro="" textlink="">
      <cdr:nvSpPr>
        <cdr:cNvPr id="3" name="Szövegdoboz 2"/>
        <cdr:cNvSpPr txBox="1"/>
      </cdr:nvSpPr>
      <cdr:spPr>
        <a:xfrm xmlns:a="http://schemas.openxmlformats.org/drawingml/2006/main">
          <a:off x="1884459" y="978011"/>
          <a:ext cx="2441051" cy="1272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hu-HU" sz="1100"/>
        </a:p>
      </cdr:txBody>
    </cdr:sp>
  </cdr:relSizeAnchor>
  <cdr:relSizeAnchor xmlns:cdr="http://schemas.openxmlformats.org/drawingml/2006/chartDrawing">
    <cdr:from>
      <cdr:x>0.29575</cdr:x>
      <cdr:y>0.76521</cdr:y>
    </cdr:from>
    <cdr:to>
      <cdr:x>0.73568</cdr:x>
      <cdr:y>0.83126</cdr:y>
    </cdr:to>
    <cdr:sp macro="" textlink="">
      <cdr:nvSpPr>
        <cdr:cNvPr id="4" name="Téglalap 3"/>
        <cdr:cNvSpPr/>
      </cdr:nvSpPr>
      <cdr:spPr>
        <a:xfrm xmlns:a="http://schemas.openxmlformats.org/drawingml/2006/main">
          <a:off x="1703717" y="2882900"/>
          <a:ext cx="2534329" cy="248851"/>
        </a:xfrm>
        <a:prstGeom xmlns:a="http://schemas.openxmlformats.org/drawingml/2006/main" prst="rect">
          <a:avLst/>
        </a:prstGeom>
        <a:noFill xmlns:a="http://schemas.openxmlformats.org/drawingml/2006/main"/>
      </cdr:spPr>
      <cdr:txBody>
        <a:bodyPr xmlns:a="http://schemas.openxmlformats.org/drawingml/2006/main" wrap="square" lIns="91440" tIns="45720" rIns="91440" bIns="45720">
          <a:spAutoFit/>
        </a:bodyPr>
        <a:lstStyle xmlns:a="http://schemas.openxmlformats.org/drawingml/2006/main"/>
        <a:p xmlns:a="http://schemas.openxmlformats.org/drawingml/2006/main">
          <a:pPr algn="ctr"/>
          <a:r>
            <a:rPr lang="hu-HU" sz="1000" b="0" cap="none" spc="0">
              <a:ln w="0"/>
              <a:solidFill>
                <a:schemeClr val="tx1"/>
              </a:solidFill>
              <a:effectLst>
                <a:outerShdw blurRad="38100" dist="19050" dir="2700000" algn="tl" rotWithShape="0">
                  <a:schemeClr val="dk1">
                    <a:alpha val="40000"/>
                  </a:schemeClr>
                </a:outerShdw>
              </a:effectLst>
            </a:rPr>
            <a:t>Faculty of Law</a:t>
          </a:r>
        </a:p>
      </cdr:txBody>
    </cdr:sp>
  </cdr:relSizeAnchor>
  <cdr:relSizeAnchor xmlns:cdr="http://schemas.openxmlformats.org/drawingml/2006/chartDrawing">
    <cdr:from>
      <cdr:x>0.27852</cdr:x>
      <cdr:y>0.59505</cdr:y>
    </cdr:from>
    <cdr:to>
      <cdr:x>0.74356</cdr:x>
      <cdr:y>0.6611</cdr:y>
    </cdr:to>
    <cdr:sp macro="" textlink="">
      <cdr:nvSpPr>
        <cdr:cNvPr id="5" name="Téglalap 4"/>
        <cdr:cNvSpPr/>
      </cdr:nvSpPr>
      <cdr:spPr>
        <a:xfrm xmlns:a="http://schemas.openxmlformats.org/drawingml/2006/main">
          <a:off x="1604501" y="2241817"/>
          <a:ext cx="2678938" cy="248851"/>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hu-HU" sz="1000" b="0" cap="none" spc="0">
              <a:ln w="0"/>
              <a:solidFill>
                <a:schemeClr val="tx1"/>
              </a:solidFill>
              <a:effectLst>
                <a:outerShdw blurRad="38100" dist="19050" dir="2700000" algn="tl" rotWithShape="0">
                  <a:schemeClr val="dk1">
                    <a:alpha val="40000"/>
                  </a:schemeClr>
                </a:outerShdw>
              </a:effectLst>
            </a:rPr>
            <a:t>Faculty of</a:t>
          </a:r>
          <a:r>
            <a:rPr lang="hu-HU" sz="1000" b="0" cap="none" spc="0" baseline="0">
              <a:ln w="0"/>
              <a:solidFill>
                <a:schemeClr val="tx1"/>
              </a:solidFill>
              <a:effectLst>
                <a:outerShdw blurRad="38100" dist="19050" dir="2700000" algn="tl" rotWithShape="0">
                  <a:schemeClr val="dk1">
                    <a:alpha val="40000"/>
                  </a:schemeClr>
                </a:outerShdw>
              </a:effectLst>
            </a:rPr>
            <a:t> Material and Chemical Engineering</a:t>
          </a:r>
          <a:endParaRPr lang="hu-HU" sz="1000" b="0" cap="none" spc="0">
            <a:ln w="0"/>
            <a:solidFill>
              <a:schemeClr val="tx1"/>
            </a:solidFill>
            <a:effectLst>
              <a:outerShdw blurRad="38100" dist="19050" dir="2700000" algn="tl" rotWithShape="0">
                <a:schemeClr val="dk1">
                  <a:alpha val="40000"/>
                </a:schemeClr>
              </a:outerShdw>
            </a:effectLst>
          </a:endParaRPr>
        </a:p>
      </cdr:txBody>
    </cdr:sp>
  </cdr:relSizeAnchor>
  <cdr:relSizeAnchor xmlns:cdr="http://schemas.openxmlformats.org/drawingml/2006/chartDrawing">
    <cdr:from>
      <cdr:x>0.29935</cdr:x>
      <cdr:y>0.4241</cdr:y>
    </cdr:from>
    <cdr:to>
      <cdr:x>0.7393</cdr:x>
      <cdr:y>0.49015</cdr:y>
    </cdr:to>
    <cdr:sp macro="" textlink="">
      <cdr:nvSpPr>
        <cdr:cNvPr id="6" name="Téglalap 5"/>
        <cdr:cNvSpPr/>
      </cdr:nvSpPr>
      <cdr:spPr>
        <a:xfrm xmlns:a="http://schemas.openxmlformats.org/drawingml/2006/main">
          <a:off x="1724473" y="1597761"/>
          <a:ext cx="2534412" cy="248851"/>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hu-HU" sz="1000" b="0" cap="none" spc="0">
              <a:ln w="0"/>
              <a:solidFill>
                <a:schemeClr val="tx1"/>
              </a:solidFill>
              <a:effectLst>
                <a:outerShdw blurRad="38100" dist="19050" dir="2700000" algn="tl" rotWithShape="0">
                  <a:schemeClr val="dk1">
                    <a:alpha val="40000"/>
                  </a:schemeClr>
                </a:outerShdw>
              </a:effectLst>
            </a:rPr>
            <a:t>Faculty of Humanities and Social Sciences</a:t>
          </a:r>
        </a:p>
      </cdr:txBody>
    </cdr:sp>
  </cdr:relSizeAnchor>
  <cdr:relSizeAnchor xmlns:cdr="http://schemas.openxmlformats.org/drawingml/2006/chartDrawing">
    <cdr:from>
      <cdr:x>0.25235</cdr:x>
      <cdr:y>0.25947</cdr:y>
    </cdr:from>
    <cdr:to>
      <cdr:x>0.7725</cdr:x>
      <cdr:y>0.32553</cdr:y>
    </cdr:to>
    <cdr:sp macro="" textlink="">
      <cdr:nvSpPr>
        <cdr:cNvPr id="7" name="Téglalap 6"/>
        <cdr:cNvSpPr/>
      </cdr:nvSpPr>
      <cdr:spPr>
        <a:xfrm xmlns:a="http://schemas.openxmlformats.org/drawingml/2006/main">
          <a:off x="1453698" y="977560"/>
          <a:ext cx="2996461" cy="248851"/>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hu-HU" sz="1000" b="0" cap="none" spc="0">
              <a:ln w="0"/>
              <a:solidFill>
                <a:schemeClr val="tx1"/>
              </a:solidFill>
              <a:effectLst>
                <a:outerShdw blurRad="38100" dist="19050" dir="2700000" algn="tl" rotWithShape="0">
                  <a:schemeClr val="dk1">
                    <a:alpha val="40000"/>
                  </a:schemeClr>
                </a:outerShdw>
              </a:effectLst>
            </a:rPr>
            <a:t>Faculty of Mechanical Engineering and Informatics </a:t>
          </a:r>
        </a:p>
      </cdr:txBody>
    </cdr:sp>
  </cdr:relSizeAnchor>
  <cdr:relSizeAnchor xmlns:cdr="http://schemas.openxmlformats.org/drawingml/2006/chartDrawing">
    <cdr:from>
      <cdr:x>0.40697</cdr:x>
      <cdr:y>0.09485</cdr:y>
    </cdr:from>
    <cdr:to>
      <cdr:x>0.64548</cdr:x>
      <cdr:y>0.16091</cdr:y>
    </cdr:to>
    <cdr:sp macro="" textlink="">
      <cdr:nvSpPr>
        <cdr:cNvPr id="8" name="Téglalap 7"/>
        <cdr:cNvSpPr/>
      </cdr:nvSpPr>
      <cdr:spPr>
        <a:xfrm xmlns:a="http://schemas.openxmlformats.org/drawingml/2006/main">
          <a:off x="2344451" y="357357"/>
          <a:ext cx="1373966" cy="248851"/>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hu-HU" sz="1000" b="0" cap="none" spc="0">
              <a:ln w="0"/>
              <a:solidFill>
                <a:schemeClr val="tx1"/>
              </a:solidFill>
              <a:effectLst>
                <a:outerShdw blurRad="38100" dist="19050" dir="2700000" algn="tl" rotWithShape="0">
                  <a:schemeClr val="dk1">
                    <a:alpha val="40000"/>
                  </a:schemeClr>
                </a:outerShdw>
              </a:effectLst>
            </a:rPr>
            <a:t>Faculty of Economics</a:t>
          </a:r>
        </a:p>
      </cdr:txBody>
    </cdr:sp>
  </cdr:relSizeAnchor>
</c:userShape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727</Words>
  <Characters>5024</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Csabai Bence Máté</dc:creator>
  <cp:keywords/>
  <dc:description/>
  <cp:lastModifiedBy>Csabai Bence Máté</cp:lastModifiedBy>
  <cp:revision>8</cp:revision>
  <dcterms:created xsi:type="dcterms:W3CDTF">2024-10-18T09:57:00Z</dcterms:created>
  <dcterms:modified xsi:type="dcterms:W3CDTF">2024-10-21T10:54:00Z</dcterms:modified>
</cp:coreProperties>
</file>